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D8" w:rsidRDefault="00B21AD8" w:rsidP="00B21AD8">
      <w:pPr>
        <w:jc w:val="both"/>
      </w:pPr>
      <w:bookmarkStart w:id="0" w:name="_GoBack"/>
      <w:bookmarkEnd w:id="0"/>
      <w:r>
        <w:tab/>
      </w:r>
      <w:r>
        <w:tab/>
      </w:r>
      <w:r>
        <w:tab/>
      </w:r>
      <w:r>
        <w:tab/>
      </w:r>
      <w:r>
        <w:tab/>
      </w:r>
      <w:r>
        <w:tab/>
      </w:r>
      <w:r>
        <w:tab/>
      </w:r>
      <w:r>
        <w:tab/>
      </w:r>
      <w:r>
        <w:tab/>
        <w:t>PATVIRTINTA</w:t>
      </w:r>
    </w:p>
    <w:p w:rsidR="002351EF" w:rsidRDefault="002351EF" w:rsidP="006B5310">
      <w:pPr>
        <w:jc w:val="both"/>
      </w:pPr>
      <w:r>
        <w:tab/>
      </w:r>
      <w:r>
        <w:tab/>
      </w:r>
      <w:r>
        <w:tab/>
      </w:r>
      <w:r>
        <w:tab/>
      </w:r>
      <w:r>
        <w:tab/>
      </w:r>
      <w:r>
        <w:tab/>
      </w:r>
      <w:r>
        <w:tab/>
      </w:r>
      <w:r>
        <w:tab/>
      </w:r>
      <w:r>
        <w:tab/>
        <w:t xml:space="preserve">Šalčininkų rajono </w:t>
      </w:r>
    </w:p>
    <w:p w:rsidR="002351EF" w:rsidRDefault="002351EF" w:rsidP="006B5310">
      <w:pPr>
        <w:jc w:val="both"/>
      </w:pPr>
      <w:r>
        <w:tab/>
      </w:r>
      <w:r>
        <w:tab/>
      </w:r>
      <w:r>
        <w:tab/>
      </w:r>
      <w:r>
        <w:tab/>
      </w:r>
      <w:r>
        <w:tab/>
      </w:r>
      <w:r>
        <w:tab/>
      </w:r>
      <w:r>
        <w:tab/>
      </w:r>
      <w:r>
        <w:tab/>
      </w:r>
      <w:r>
        <w:tab/>
        <w:t xml:space="preserve">savivaldybės tarybos </w:t>
      </w:r>
    </w:p>
    <w:p w:rsidR="002351EF" w:rsidRDefault="002351EF" w:rsidP="006B5310">
      <w:pPr>
        <w:jc w:val="both"/>
      </w:pPr>
      <w:r>
        <w:tab/>
      </w:r>
      <w:r>
        <w:tab/>
      </w:r>
      <w:r>
        <w:tab/>
      </w:r>
      <w:r>
        <w:tab/>
      </w:r>
      <w:r>
        <w:tab/>
      </w:r>
      <w:r>
        <w:tab/>
      </w:r>
      <w:r>
        <w:tab/>
      </w:r>
      <w:r>
        <w:tab/>
      </w:r>
      <w:r>
        <w:tab/>
      </w:r>
      <w:r w:rsidR="00777B08">
        <w:fldChar w:fldCharType="begin"/>
      </w:r>
      <w:r>
        <w:instrText xml:space="preserve"> DOCPROPERTY \@ "</w:instrText>
      </w:r>
      <w:r w:rsidRPr="00234D8D">
        <w:instrText>yyyy 'm.' MMMM d 'd.'</w:instrText>
      </w:r>
      <w:r w:rsidRPr="00A015DE">
        <w:instrText>"</w:instrText>
      </w:r>
      <w:r>
        <w:instrText xml:space="preserve"> DLX:Registered  \* MERGEFORMAT </w:instrText>
      </w:r>
      <w:r w:rsidR="00777B08">
        <w:fldChar w:fldCharType="separate"/>
      </w:r>
      <w:r w:rsidR="00DF2F5A">
        <w:t>2016 m. kovo 31 d.</w:t>
      </w:r>
      <w:r w:rsidR="00777B08">
        <w:fldChar w:fldCharType="end"/>
      </w:r>
    </w:p>
    <w:p w:rsidR="002351EF" w:rsidRDefault="002351EF" w:rsidP="006B5310">
      <w:pPr>
        <w:ind w:left="5760" w:firstLine="720"/>
        <w:jc w:val="both"/>
      </w:pPr>
      <w:r>
        <w:t>sprendim</w:t>
      </w:r>
      <w:r w:rsidR="00B21AD8">
        <w:t>u</w:t>
      </w:r>
      <w:r>
        <w:t xml:space="preserve"> Nr. </w:t>
      </w:r>
      <w:fldSimple w:instr=" DOCPROPERTY  DLX:RegistrationNo  \* MERGEFORMAT ">
        <w:r w:rsidR="00DF2F5A">
          <w:t>T-377</w:t>
        </w:r>
      </w:fldSimple>
    </w:p>
    <w:p w:rsidR="00B21AD8" w:rsidRDefault="00B21AD8" w:rsidP="00B21AD8">
      <w:pPr>
        <w:pStyle w:val="Pavadinimas"/>
        <w:rPr>
          <w:b w:val="0"/>
          <w:bCs w:val="0"/>
        </w:rPr>
      </w:pPr>
    </w:p>
    <w:p w:rsidR="00B21AD8" w:rsidRDefault="00B21AD8" w:rsidP="00B21AD8">
      <w:pPr>
        <w:jc w:val="center"/>
        <w:rPr>
          <w:b/>
        </w:rPr>
      </w:pPr>
      <w:r>
        <w:rPr>
          <w:b/>
        </w:rPr>
        <w:t>ŠALČININKŲ R.  BUTRIMONIŲ ANOS KREPŠTUL GIMNAZIJOS DIREKTORIAUS 2015 METŲ  VEIKLOS ATASKAITA</w:t>
      </w:r>
    </w:p>
    <w:p w:rsidR="00B21AD8" w:rsidRDefault="00B21AD8" w:rsidP="00B21AD8">
      <w:pPr>
        <w:jc w:val="center"/>
        <w:rPr>
          <w:b/>
        </w:rPr>
      </w:pPr>
    </w:p>
    <w:p w:rsidR="00B21AD8" w:rsidRDefault="00B21AD8" w:rsidP="00B21AD8">
      <w:pPr>
        <w:numPr>
          <w:ilvl w:val="0"/>
          <w:numId w:val="28"/>
        </w:numPr>
        <w:ind w:hanging="229"/>
        <w:rPr>
          <w:b/>
        </w:rPr>
      </w:pPr>
      <w:r>
        <w:rPr>
          <w:b/>
        </w:rPr>
        <w:t>Bendrosios žinios.</w:t>
      </w:r>
    </w:p>
    <w:p w:rsidR="00B21AD8" w:rsidRDefault="00B21AD8" w:rsidP="00B21AD8">
      <w:pPr>
        <w:tabs>
          <w:tab w:val="num" w:pos="1200"/>
        </w:tabs>
        <w:jc w:val="both"/>
      </w:pPr>
      <w:r>
        <w:t xml:space="preserve">              Šalčininkų r. Butrimonių Anos Krepštul gimnazija yra savivaldybės biudžetinė bendrojo ugdymo įstaiga, vykdanti formaliojo (ikimokyklinio, priešmokyklinio, pradinio, pagrindinio ir vidurinio ugdymo) ir neformaliojo švietimo programas. Gimnazija turėjo du pradinio ugdymo skyrius: Gerviškių ir Jančiūnų (iki balandžio 29 d.).</w:t>
      </w:r>
    </w:p>
    <w:p w:rsidR="00B21AD8" w:rsidRDefault="00B21AD8" w:rsidP="00B21AD8">
      <w:pPr>
        <w:tabs>
          <w:tab w:val="num" w:pos="1200"/>
        </w:tabs>
        <w:jc w:val="both"/>
      </w:pPr>
      <w:r>
        <w:t xml:space="preserve">             Gimnazijos adresas:  Mokyklos g. 2, LT-17157 Butrimonių k., Šalčininkų r. el. paštas </w:t>
      </w:r>
      <w:hyperlink r:id="rId7" w:history="1">
        <w:r>
          <w:rPr>
            <w:rStyle w:val="Hipersaitas"/>
          </w:rPr>
          <w:t>butrimoniuakgimn@gmail.com</w:t>
        </w:r>
      </w:hyperlink>
      <w:r>
        <w:t xml:space="preserve">, telefonas/faksas (8380)45671, internetinė svetainė </w:t>
      </w:r>
      <w:hyperlink r:id="rId8" w:history="1">
        <w:r>
          <w:rPr>
            <w:rStyle w:val="Hipersaitas"/>
          </w:rPr>
          <w:t>http://www.butrimonys.salcininkai.lm.lt</w:t>
        </w:r>
      </w:hyperlink>
      <w:r>
        <w:t xml:space="preserve">. </w:t>
      </w:r>
    </w:p>
    <w:p w:rsidR="00B21AD8" w:rsidRDefault="00B21AD8" w:rsidP="00B21AD8">
      <w:pPr>
        <w:ind w:left="720"/>
        <w:jc w:val="both"/>
      </w:pPr>
      <w:r>
        <w:t>Veikia ir socialinių tinklų gimnazijos svetainės facebook: ,,Ugdymas karjerai“ ir ,,Butrimonių Anos Krepštul gimnazija“.</w:t>
      </w:r>
    </w:p>
    <w:p w:rsidR="00B21AD8" w:rsidRDefault="00B21AD8" w:rsidP="00B21AD8">
      <w:pPr>
        <w:ind w:firstLine="720"/>
        <w:jc w:val="both"/>
      </w:pPr>
      <w:r>
        <w:t>2015 metais (rugsėjo 1 d.) gimnazijoje: ikimokyklinė jungtinė grupė buvo 6, 1– 4 klasėse mokėsi 51 mok., 5–8 klasėse – 63 mok., IG-IIG klasėse – 23 mok.,  IIIG-IVG  klasėse – 28 mok. Iš viso buvo 171 mokinys. Komplektų skaičius – 13.  Ugdymas organizuojamas lenkų kalba.</w:t>
      </w:r>
    </w:p>
    <w:p w:rsidR="00B21AD8" w:rsidRDefault="00B21AD8" w:rsidP="00B21AD8">
      <w:pPr>
        <w:tabs>
          <w:tab w:val="num" w:pos="1200"/>
        </w:tabs>
        <w:jc w:val="both"/>
      </w:pPr>
      <w:r>
        <w:t>Gimnazijos vadovai:</w:t>
      </w:r>
    </w:p>
    <w:p w:rsidR="00B21AD8" w:rsidRDefault="00B21AD8" w:rsidP="00B21AD8">
      <w:pPr>
        <w:jc w:val="both"/>
      </w:pPr>
      <w:r>
        <w:t xml:space="preserve">            direktorė – Teresa Savel, atestuota II vadybinei kvalifikacijos kategorijai. Vadybinis  stažas – 28 metai;</w:t>
      </w:r>
    </w:p>
    <w:p w:rsidR="00B21AD8" w:rsidRDefault="00B21AD8" w:rsidP="00B21AD8">
      <w:pPr>
        <w:jc w:val="both"/>
      </w:pPr>
      <w:r>
        <w:t xml:space="preserve">             Marija Ladziato – direktorės pavaduotoja ugdymui, atestuota II vadybinei kvalifikacijos kategorijai. Vadybinis  stažas – 38 metai;</w:t>
      </w:r>
    </w:p>
    <w:p w:rsidR="00B21AD8" w:rsidRDefault="00B21AD8" w:rsidP="00B21AD8">
      <w:pPr>
        <w:jc w:val="both"/>
      </w:pPr>
      <w:r>
        <w:t xml:space="preserve">            Stanislava Rodzevič – direktorės neformaliojo švietimo pavaduotoja (0,5 etato), neatestuota. Vadybinis stažas – 2 metai.</w:t>
      </w:r>
    </w:p>
    <w:p w:rsidR="00B21AD8" w:rsidRDefault="00B21AD8" w:rsidP="00B21AD8">
      <w:pPr>
        <w:jc w:val="both"/>
      </w:pPr>
      <w:r>
        <w:t xml:space="preserve">           Stanislava Ruris – direktorės pavaduotoja ūkio reikalams, darbo stažas gimnazijoje – 27 metai.</w:t>
      </w:r>
    </w:p>
    <w:p w:rsidR="00B21AD8" w:rsidRDefault="00B21AD8" w:rsidP="00B21AD8">
      <w:pPr>
        <w:jc w:val="both"/>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680"/>
        <w:gridCol w:w="2796"/>
      </w:tblGrid>
      <w:tr w:rsidR="00B21AD8" w:rsidTr="00B21AD8">
        <w:trPr>
          <w:trHeight w:val="217"/>
        </w:trPr>
        <w:tc>
          <w:tcPr>
            <w:tcW w:w="2472" w:type="dxa"/>
            <w:tcBorders>
              <w:top w:val="single" w:sz="4" w:space="0" w:color="auto"/>
              <w:left w:val="single" w:sz="4" w:space="0" w:color="auto"/>
              <w:bottom w:val="single" w:sz="4" w:space="0" w:color="auto"/>
              <w:right w:val="single" w:sz="4" w:space="0" w:color="auto"/>
            </w:tcBorders>
            <w:hideMark/>
          </w:tcPr>
          <w:p w:rsidR="00B21AD8" w:rsidRDefault="00B21AD8">
            <w:pPr>
              <w:tabs>
                <w:tab w:val="left" w:pos="851"/>
              </w:tabs>
              <w:jc w:val="center"/>
            </w:pPr>
            <w:r>
              <w:t>Administracija (direktorius ir pavaduotojai)</w:t>
            </w:r>
          </w:p>
        </w:tc>
        <w:tc>
          <w:tcPr>
            <w:tcW w:w="2680" w:type="dxa"/>
            <w:tcBorders>
              <w:top w:val="single" w:sz="4" w:space="0" w:color="auto"/>
              <w:left w:val="single" w:sz="4" w:space="0" w:color="auto"/>
              <w:bottom w:val="single" w:sz="4" w:space="0" w:color="auto"/>
              <w:right w:val="single" w:sz="4" w:space="0" w:color="auto"/>
            </w:tcBorders>
            <w:hideMark/>
          </w:tcPr>
          <w:p w:rsidR="00B21AD8" w:rsidRDefault="00B21AD8">
            <w:pPr>
              <w:tabs>
                <w:tab w:val="left" w:pos="851"/>
              </w:tabs>
              <w:jc w:val="center"/>
            </w:pPr>
            <w:r>
              <w:t>Specialistai (pedagoginiai darbuotojai)</w:t>
            </w:r>
          </w:p>
        </w:tc>
        <w:tc>
          <w:tcPr>
            <w:tcW w:w="2796" w:type="dxa"/>
            <w:tcBorders>
              <w:top w:val="single" w:sz="4" w:space="0" w:color="auto"/>
              <w:left w:val="single" w:sz="4" w:space="0" w:color="auto"/>
              <w:bottom w:val="single" w:sz="4" w:space="0" w:color="auto"/>
              <w:right w:val="single" w:sz="4" w:space="0" w:color="auto"/>
            </w:tcBorders>
            <w:hideMark/>
          </w:tcPr>
          <w:p w:rsidR="00B21AD8" w:rsidRDefault="00B21AD8">
            <w:pPr>
              <w:tabs>
                <w:tab w:val="left" w:pos="851"/>
              </w:tabs>
              <w:jc w:val="center"/>
            </w:pPr>
            <w:r>
              <w:t>Kiti darbuotojai (darbininkai, valytojai, budėtojai ir kt.)</w:t>
            </w:r>
          </w:p>
        </w:tc>
      </w:tr>
      <w:tr w:rsidR="00B21AD8" w:rsidTr="00B21AD8">
        <w:trPr>
          <w:trHeight w:val="203"/>
        </w:trPr>
        <w:tc>
          <w:tcPr>
            <w:tcW w:w="2472"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4</w:t>
            </w:r>
          </w:p>
        </w:tc>
        <w:tc>
          <w:tcPr>
            <w:tcW w:w="2680"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36</w:t>
            </w:r>
          </w:p>
        </w:tc>
        <w:tc>
          <w:tcPr>
            <w:tcW w:w="2796"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17</w:t>
            </w:r>
          </w:p>
        </w:tc>
      </w:tr>
    </w:tbl>
    <w:p w:rsidR="00B21AD8" w:rsidRDefault="00B21AD8" w:rsidP="00B21AD8">
      <w:pPr>
        <w:jc w:val="both"/>
      </w:pPr>
    </w:p>
    <w:p w:rsidR="00B21AD8" w:rsidRDefault="00B21AD8" w:rsidP="00B21AD8">
      <w:pPr>
        <w:ind w:firstLine="709"/>
        <w:jc w:val="both"/>
      </w:pPr>
      <w:r>
        <w:t>Žaneta Bobin – socialinis vyresnysispedagogas – 1 etatas;</w:t>
      </w:r>
    </w:p>
    <w:p w:rsidR="00B21AD8" w:rsidRDefault="00B21AD8" w:rsidP="00B21AD8">
      <w:pPr>
        <w:ind w:firstLine="709"/>
        <w:jc w:val="both"/>
      </w:pPr>
      <w:r>
        <w:t>Alicija Ruselevič – logopedė – 0,5 etato, Butrimonių Anos Krepštul gimnazijoje ir  Butrimonių lopšelyje–darželyje, Sniežana Voitukovič – spec. pedagogė – 0,5 etato.</w:t>
      </w:r>
    </w:p>
    <w:p w:rsidR="00B21AD8" w:rsidRDefault="00B21AD8" w:rsidP="00B21AD8">
      <w:pPr>
        <w:ind w:firstLine="1296"/>
        <w:jc w:val="both"/>
      </w:pPr>
      <w:r>
        <w:t>Marija Paliul – bibliotekininkė, nespecialistė;</w:t>
      </w:r>
    </w:p>
    <w:p w:rsidR="00B21AD8" w:rsidRDefault="00B21AD8" w:rsidP="00B21AD8">
      <w:pPr>
        <w:ind w:firstLine="1296"/>
        <w:jc w:val="both"/>
      </w:pPr>
      <w:r>
        <w:t>Silva Šengerej – medicinos specialistė (dirbo pagal projektą).</w:t>
      </w:r>
    </w:p>
    <w:p w:rsidR="00B21AD8" w:rsidRDefault="00B21AD8" w:rsidP="00B21AD8">
      <w:pPr>
        <w:jc w:val="both"/>
      </w:pPr>
      <w:r>
        <w:t>Pagal kvalifikacinę kategoriją 2015 metais gimnazijoje dirbo (</w:t>
      </w:r>
      <w:r>
        <w:rPr>
          <w:b/>
        </w:rPr>
        <w:t>gruodžio 31 d. informacija</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6"/>
        <w:gridCol w:w="1836"/>
        <w:gridCol w:w="1836"/>
        <w:gridCol w:w="1836"/>
        <w:gridCol w:w="1836"/>
      </w:tblGrid>
      <w:tr w:rsidR="00B21AD8" w:rsidTr="00B21AD8">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 xml:space="preserve">Neatestuotų mokytojų </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 xml:space="preserve">Mokytojų kvalifikacinė kategorija turinčių </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Vyr. mokytojų kvalifikacinė kategorija turinčių</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Metodininkų kvalifikacinė kategorija turinčių</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 xml:space="preserve">Ekspertų kvalifikacinė kategorija turinčių </w:t>
            </w:r>
          </w:p>
        </w:tc>
      </w:tr>
      <w:tr w:rsidR="00B21AD8" w:rsidTr="00B21AD8">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3 (studijuoja)</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6</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26</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3</w:t>
            </w:r>
          </w:p>
        </w:tc>
        <w:tc>
          <w:tcPr>
            <w:tcW w:w="1836"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r>
    </w:tbl>
    <w:p w:rsidR="00B21AD8" w:rsidRDefault="00B21AD8" w:rsidP="00B21AD8">
      <w:pPr>
        <w:jc w:val="both"/>
      </w:pPr>
    </w:p>
    <w:p w:rsidR="00B21AD8" w:rsidRDefault="00B21AD8" w:rsidP="00B21AD8">
      <w:pPr>
        <w:jc w:val="both"/>
      </w:pPr>
      <w:r>
        <w:t xml:space="preserve">  2015 metais atestuoti 4 mokytojai (pradinis ugdymas, istorija, šokis, lenkų kalba).</w:t>
      </w:r>
    </w:p>
    <w:p w:rsidR="00B21AD8" w:rsidRDefault="00B21AD8" w:rsidP="00B21AD8">
      <w:pPr>
        <w:jc w:val="both"/>
      </w:pPr>
    </w:p>
    <w:p w:rsidR="00B21AD8" w:rsidRDefault="00B21AD8" w:rsidP="00B21AD8">
      <w:pPr>
        <w:numPr>
          <w:ilvl w:val="1"/>
          <w:numId w:val="29"/>
        </w:numPr>
        <w:jc w:val="both"/>
      </w:pPr>
      <w:r>
        <w:rPr>
          <w:i/>
          <w:lang w:val="es-ES"/>
        </w:rPr>
        <w:t>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880"/>
        <w:gridCol w:w="3060"/>
      </w:tblGrid>
      <w:tr w:rsidR="00B21AD8" w:rsidTr="00B21AD8">
        <w:trPr>
          <w:trHeight w:val="273"/>
        </w:trPr>
        <w:tc>
          <w:tcPr>
            <w:tcW w:w="3600" w:type="dxa"/>
            <w:tcBorders>
              <w:top w:val="single" w:sz="4" w:space="0" w:color="auto"/>
              <w:left w:val="single" w:sz="4" w:space="0" w:color="auto"/>
              <w:bottom w:val="single" w:sz="4" w:space="0" w:color="auto"/>
              <w:right w:val="single" w:sz="4" w:space="0" w:color="auto"/>
            </w:tcBorders>
            <w:hideMark/>
          </w:tcPr>
          <w:p w:rsidR="00B21AD8" w:rsidRDefault="00B21AD8">
            <w:r>
              <w:t>Pastatai (nurodyti adresus)</w:t>
            </w:r>
          </w:p>
        </w:tc>
        <w:tc>
          <w:tcPr>
            <w:tcW w:w="2880" w:type="dxa"/>
            <w:tcBorders>
              <w:top w:val="single" w:sz="4" w:space="0" w:color="auto"/>
              <w:left w:val="single" w:sz="4" w:space="0" w:color="auto"/>
              <w:bottom w:val="single" w:sz="4" w:space="0" w:color="auto"/>
              <w:right w:val="single" w:sz="4" w:space="0" w:color="auto"/>
            </w:tcBorders>
            <w:hideMark/>
          </w:tcPr>
          <w:p w:rsidR="00B21AD8" w:rsidRDefault="00B21AD8">
            <w:pPr>
              <w:ind w:firstLine="34"/>
              <w:jc w:val="center"/>
            </w:pPr>
            <w:r>
              <w:t>Plotas (m</w:t>
            </w:r>
            <w:r>
              <w:rPr>
                <w:vertAlign w:val="superscript"/>
              </w:rPr>
              <w:t>2</w:t>
            </w:r>
            <w:r>
              <w:t>)</w:t>
            </w:r>
          </w:p>
        </w:tc>
        <w:tc>
          <w:tcPr>
            <w:tcW w:w="3060" w:type="dxa"/>
            <w:tcBorders>
              <w:top w:val="single" w:sz="4" w:space="0" w:color="auto"/>
              <w:left w:val="single" w:sz="4" w:space="0" w:color="auto"/>
              <w:bottom w:val="single" w:sz="4" w:space="0" w:color="auto"/>
              <w:right w:val="single" w:sz="4" w:space="0" w:color="auto"/>
            </w:tcBorders>
            <w:hideMark/>
          </w:tcPr>
          <w:p w:rsidR="00B21AD8" w:rsidRDefault="00B21AD8">
            <w:pPr>
              <w:ind w:firstLine="34"/>
              <w:jc w:val="center"/>
            </w:pPr>
            <w:r>
              <w:t>Pastabos</w:t>
            </w:r>
          </w:p>
        </w:tc>
      </w:tr>
      <w:tr w:rsidR="00B21AD8" w:rsidTr="00B21AD8">
        <w:trPr>
          <w:trHeight w:val="289"/>
        </w:trPr>
        <w:tc>
          <w:tcPr>
            <w:tcW w:w="3600" w:type="dxa"/>
            <w:tcBorders>
              <w:top w:val="single" w:sz="4" w:space="0" w:color="auto"/>
              <w:left w:val="single" w:sz="4" w:space="0" w:color="auto"/>
              <w:bottom w:val="single" w:sz="4" w:space="0" w:color="auto"/>
              <w:right w:val="single" w:sz="4" w:space="0" w:color="auto"/>
            </w:tcBorders>
            <w:hideMark/>
          </w:tcPr>
          <w:p w:rsidR="00B21AD8" w:rsidRDefault="00B21AD8">
            <w:r>
              <w:t>Mokyklos g. 2, LT-17157 Butrimonių k., Šalčininkų rajonas.</w:t>
            </w:r>
          </w:p>
        </w:tc>
        <w:tc>
          <w:tcPr>
            <w:tcW w:w="2880"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3315,87</w:t>
            </w:r>
          </w:p>
        </w:tc>
        <w:tc>
          <w:tcPr>
            <w:tcW w:w="3060" w:type="dxa"/>
            <w:tcBorders>
              <w:top w:val="single" w:sz="4" w:space="0" w:color="auto"/>
              <w:left w:val="single" w:sz="4" w:space="0" w:color="auto"/>
              <w:bottom w:val="single" w:sz="4" w:space="0" w:color="auto"/>
              <w:right w:val="single" w:sz="4" w:space="0" w:color="auto"/>
            </w:tcBorders>
            <w:hideMark/>
          </w:tcPr>
          <w:p w:rsidR="00B21AD8" w:rsidRDefault="00B21AD8">
            <w:pPr>
              <w:jc w:val="both"/>
            </w:pPr>
            <w:r>
              <w:t>Mokosi 1-8 ir IG-IVG  klasių mokiniai</w:t>
            </w:r>
          </w:p>
        </w:tc>
      </w:tr>
      <w:tr w:rsidR="00B21AD8" w:rsidTr="00B21AD8">
        <w:trPr>
          <w:trHeight w:val="289"/>
        </w:trPr>
        <w:tc>
          <w:tcPr>
            <w:tcW w:w="3600" w:type="dxa"/>
            <w:tcBorders>
              <w:top w:val="single" w:sz="4" w:space="0" w:color="auto"/>
              <w:left w:val="single" w:sz="4" w:space="0" w:color="auto"/>
              <w:bottom w:val="single" w:sz="4" w:space="0" w:color="auto"/>
              <w:right w:val="single" w:sz="4" w:space="0" w:color="auto"/>
            </w:tcBorders>
            <w:hideMark/>
          </w:tcPr>
          <w:p w:rsidR="00B21AD8" w:rsidRDefault="00B21AD8">
            <w:pPr>
              <w:jc w:val="both"/>
            </w:pPr>
            <w:r>
              <w:t>Šalčios g.1, LT – 17146</w:t>
            </w:r>
          </w:p>
          <w:p w:rsidR="00B21AD8" w:rsidRDefault="00B21AD8">
            <w:r>
              <w:t>Gerviškių kaimas, Šalčininkų rajonas</w:t>
            </w:r>
          </w:p>
        </w:tc>
        <w:tc>
          <w:tcPr>
            <w:tcW w:w="2880"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173,14</w:t>
            </w:r>
          </w:p>
        </w:tc>
        <w:tc>
          <w:tcPr>
            <w:tcW w:w="3060" w:type="dxa"/>
            <w:tcBorders>
              <w:top w:val="single" w:sz="4" w:space="0" w:color="auto"/>
              <w:left w:val="single" w:sz="4" w:space="0" w:color="auto"/>
              <w:bottom w:val="single" w:sz="4" w:space="0" w:color="auto"/>
              <w:right w:val="single" w:sz="4" w:space="0" w:color="auto"/>
            </w:tcBorders>
            <w:hideMark/>
          </w:tcPr>
          <w:p w:rsidR="00B21AD8" w:rsidRDefault="00B21AD8">
            <w:pPr>
              <w:jc w:val="both"/>
            </w:pPr>
            <w:r>
              <w:t>Mokosi ikimokyklinio ir priešmokyklinio ugdymo jungtinė grupė</w:t>
            </w:r>
          </w:p>
        </w:tc>
      </w:tr>
    </w:tbl>
    <w:p w:rsidR="00B21AD8" w:rsidRDefault="00B21AD8" w:rsidP="00B21AD8">
      <w:pPr>
        <w:ind w:firstLine="426"/>
        <w:rPr>
          <w:b/>
        </w:rPr>
      </w:pPr>
    </w:p>
    <w:p w:rsidR="00B21AD8" w:rsidRDefault="00B21AD8" w:rsidP="00B21AD8">
      <w:pPr>
        <w:ind w:left="426"/>
        <w:jc w:val="both"/>
      </w:pPr>
      <w:r>
        <w:rPr>
          <w:b/>
        </w:rPr>
        <w:t xml:space="preserve"> II. Ugdymo proceso organizavimas</w:t>
      </w:r>
      <w:r>
        <w:t xml:space="preserve">. </w:t>
      </w:r>
    </w:p>
    <w:p w:rsidR="00B21AD8" w:rsidRDefault="00B21AD8" w:rsidP="00B21AD8">
      <w:r>
        <w:t>2015 metai – Etnografinių regionų metai.</w:t>
      </w:r>
    </w:p>
    <w:p w:rsidR="00B21AD8" w:rsidRDefault="00B21AD8" w:rsidP="00B21AD8">
      <w:pPr>
        <w:jc w:val="both"/>
      </w:pPr>
      <w:r>
        <w:t xml:space="preserve">Ugdymo  planas orientuotas į ugdymo programų įgyvendinimą, gimnazijos ir kiekvieno mokinio pažangos siekimą, ugdymo diferencijavimą ir kompetencijų bei gebėjimų ugdymą. Pradinėse klasėse papildomos valandos skirtos lietuvių kalbos ugdymui. Mokinių krūvio mažinimui dailės ir technologijų dalykai integruoti į neformalųjį švietimą.  </w:t>
      </w:r>
      <w:r>
        <w:rPr>
          <w:bCs/>
        </w:rPr>
        <w:t>2015-2016 m. m. ugdymo planuose lietuvių kalbos  ir gimtosios kalbos diferencijuotam  ugdymui 6 klasėje skirtos 4 valandos. Ugdymo turinys integruojamas į kultūrinę – pažintinę veiklą, neformalųjį švietimą, ugdymas karjerai, projektus, dalykų modulius (,,Draugausime su geometrija“ –IG kl., ,,Žodis ir ženklas“ –lietuvių kalba  7 kl., ,,Auginu žodį“ – lietuvių kalba 8 kl., ,,Ortografija Tau“ – lenkų kalba IIG kl., rusų kalba – 6-8 ir IG-IIG kl.)</w:t>
      </w:r>
    </w:p>
    <w:p w:rsidR="00B21AD8" w:rsidRDefault="00B21AD8" w:rsidP="00B21AD8">
      <w:pPr>
        <w:jc w:val="both"/>
      </w:pPr>
      <w:r>
        <w:t>2015 metų   gimnazijos veiklos plano tikslai:</w:t>
      </w:r>
    </w:p>
    <w:p w:rsidR="00B21AD8" w:rsidRDefault="00B21AD8" w:rsidP="00B21AD8">
      <w:pPr>
        <w:jc w:val="both"/>
      </w:pPr>
      <w:r>
        <w:rPr>
          <w:b/>
          <w:bCs/>
        </w:rPr>
        <w:t>Tikslas 1: Pamokos kokybės ir mokinio individualios pažangos gerinimas.</w:t>
      </w:r>
    </w:p>
    <w:p w:rsidR="00B21AD8" w:rsidRDefault="00B21AD8" w:rsidP="00B21AD8">
      <w:pPr>
        <w:tabs>
          <w:tab w:val="left" w:pos="709"/>
          <w:tab w:val="left" w:pos="851"/>
        </w:tabs>
        <w:jc w:val="both"/>
        <w:rPr>
          <w:i/>
        </w:rPr>
      </w:pPr>
      <w:r>
        <w:rPr>
          <w:i/>
        </w:rPr>
        <w:t>Uždavinys: Diegti instrumentus individualios mokinių pažangos stebėsenai ir matavimui.</w:t>
      </w:r>
    </w:p>
    <w:p w:rsidR="00B21AD8" w:rsidRDefault="00B21AD8" w:rsidP="00B21AD8">
      <w:pPr>
        <w:jc w:val="both"/>
        <w:outlineLvl w:val="0"/>
        <w:rPr>
          <w:bCs/>
        </w:rPr>
      </w:pPr>
      <w:r>
        <w:rPr>
          <w:bCs/>
        </w:rPr>
        <w:t xml:space="preserve"> Gimnazijos mokytojams organizuoti seminarai:</w:t>
      </w:r>
    </w:p>
    <w:p w:rsidR="00B21AD8" w:rsidRDefault="00B21AD8" w:rsidP="00B21AD8">
      <w:pPr>
        <w:pStyle w:val="Sraopastraipa"/>
        <w:ind w:left="360"/>
      </w:pPr>
      <w:r>
        <w:t>-,,Į mokinį orientuotas pamokos uždavinys – sėkmingos pamokos požymis“ (2015-02-02)</w:t>
      </w:r>
    </w:p>
    <w:p w:rsidR="00B21AD8" w:rsidRDefault="00B21AD8" w:rsidP="00B21AD8">
      <w:pPr>
        <w:pStyle w:val="Sraopastraipa"/>
        <w:ind w:left="360"/>
        <w:jc w:val="both"/>
        <w:outlineLvl w:val="0"/>
      </w:pPr>
      <w:r>
        <w:t>-,,Kaip išmokyti visą klasę po vieną? Į mokinį orientuoto ugdymo technologija“ (2015-02-02)</w:t>
      </w:r>
    </w:p>
    <w:p w:rsidR="00B21AD8" w:rsidRDefault="00B21AD8" w:rsidP="00B21AD8">
      <w:pPr>
        <w:pStyle w:val="Sraopastraipa"/>
        <w:ind w:left="0"/>
        <w:jc w:val="both"/>
        <w:outlineLvl w:val="0"/>
      </w:pPr>
      <w:r>
        <w:rPr>
          <w:bCs/>
        </w:rPr>
        <w:t xml:space="preserve">2015 metais analizuotos ir ištirtos sritys:  </w:t>
      </w:r>
      <w:r>
        <w:t>Lankomumo kokybė (aptarta Mokyklos taryboje, 2015-01-27 Nr.1);Kolegialaus grįžtamojo ryšio metodika (aptarta MTP 2015-03-30 Nr.2);Standartizuotų testų rezultatai (aptarta MTP 2015-05-28 Nr.4);Pagalba mokiniui  (aptarta MTP 2015-05-28 Nr.4); Egzaminų rezultatai (aptarta MTP 2015-08-27 Nr.5); Pirmokų ir penktokų adaptacija - tyrimai (aptarta MTP 2015-11-26 Nr. 6).</w:t>
      </w:r>
    </w:p>
    <w:p w:rsidR="00B21AD8" w:rsidRDefault="00B21AD8" w:rsidP="00B21AD8">
      <w:pPr>
        <w:pStyle w:val="Sraopastraipa"/>
        <w:ind w:left="0"/>
        <w:jc w:val="both"/>
        <w:outlineLvl w:val="0"/>
      </w:pPr>
      <w:r>
        <w:t>Nuolat tobulinama pažangos vertinimo sistema.</w:t>
      </w:r>
    </w:p>
    <w:p w:rsidR="00B21AD8" w:rsidRDefault="00B21AD8" w:rsidP="00B21AD8">
      <w:pPr>
        <w:jc w:val="both"/>
        <w:rPr>
          <w:bCs/>
          <w:i/>
        </w:rPr>
      </w:pPr>
      <w:r>
        <w:rPr>
          <w:bCs/>
          <w:i/>
        </w:rPr>
        <w:t>Uždavinys: Sudaryti palankias galimybes mokiniams ugdyti gebėjimo mokytis kompetencijas.</w:t>
      </w:r>
    </w:p>
    <w:p w:rsidR="00B21AD8" w:rsidRDefault="00B21AD8" w:rsidP="00B21AD8">
      <w:pPr>
        <w:ind w:firstLine="720"/>
        <w:jc w:val="both"/>
        <w:rPr>
          <w:color w:val="000000"/>
        </w:rPr>
      </w:pPr>
      <w:r>
        <w:rPr>
          <w:bCs/>
        </w:rPr>
        <w:t xml:space="preserve">Gimnazijoje yra sudarytos sąlygos mokymui naudotis internetu (visoje gimnazijoje), bibliotekoje yra sukaupta lietuvių, lenkų, anglų, rusų kalbomis grožinės literatūros, pakankamai platus pasirinkimas knygų mažiems. Yra vaizdo priemonių, pamokose naudojama IKT priemonės. Gerėja atskirų mokinių pažanga. Mokiniai raginami dalyvauti įvairiuose konkursuose ir projektuose Dalyvauta konkursuose ,,Olympis“, ,,Kengūra“, tarptautiniame matematikos konkurse ,,Su matematika po pasaulį“.  Tikslingai organizuojama kultūrinė–pažintinė veikla. 2015 metai paskelbti Etnografinių regionų metais. Klasių auklėtojų metodinė grupė bei dalykų mokytojai organizavo daug pažintinių išvykų integruotų su ugdymu karjerai (organizuota ir surengta 42 įvairios tematikos renginiai, nemažai projektų, varžybų, konkursų, 16 integruotų išvykų). Mokiniai turėjo galimybę plačiau susipažinti su Šalčininkų rajonu bei sužinoti apie įmones, kurios yra mūsų rajone. Gimnazijos IIIG  ir IVG klasės mokiniai dalyvavo Jaunimo mainų projekte ,,ERASMUS“ Torunėje (Lenkija) ,,Vaikystės skoniai“. Inicijuotas tapybos konkursas ,,Spalvotas pasaulis“, skirtas A. Krepštul atminimui ir pleneras nugalėtojams (konkursą rėmė Butrimonių seniūnijos ūkininkai ir verslininkai). Nuolat  organizuojamos mokinių darbų parodos. </w:t>
      </w:r>
      <w:r>
        <w:t>Gimnazijos atstovai dalyvavo tarptautiniame matematikos konkurse ,,Su matematika po pasaulį“ (organizatorius Varmijos –Mazurų Universitetas, Lenkijos Respublika). Kartu su Eišiškių St. Rapolionio gimnazijos mokiniais IIIG kl. mergaitės dalyvavo MoMoLab mokymuose.  Geri nacionalinio matematikos ir gamtamokslinio raštingumo konkurso rezultatai (dalyvavo 10 mokinių, gavo NEC diplomus). Atskirų mokinių pažanga gerai įvertinta edukaciniame konkurse ,,Olympis“:  Dvylika mokinių pelnė I-ojo laipsnio diplomus, keturi mokiniai – II-ojo laipsnio diplomus, šeši  apdovanoti III-iojo laipsnio diplomais. Pradinių klasių mokiniai turėjo galimybę dalyvauti festivalyje ,,Pavasario ritmu“ – 25 mok., neformaliojo švietimo užsiėmimuose (2 kl. plaukimo , margučių marginimo užsiėmimai, chemijos būrelis 1-4 klasių mokiniams).2015 metais kartu su Butrimonių bendruomenės centru bei Pabarės pagrindine mokykla įgyvendintas mokinių tarybos inicijuotas projektas ,,Kartu mes jėga“.</w:t>
      </w:r>
      <w:r>
        <w:rPr>
          <w:color w:val="000000"/>
        </w:rPr>
        <w:t xml:space="preserve">  Palaikant mokinių pasiūlymą ir pasitelkiant socialinius partnerius sėkmingai dalyvauta projekte ,,Pažinkime vieni kitus“. Šio projekto veiklos vykdytos bendradarbiaujant su Trakų švietimo skyriumi. Rugsėjo mėn. Mokinių taryba pasiūlė budėti prie gimnazijos prieigų ir užtikrinti mokinių saugumą gatvėje.  </w:t>
      </w:r>
    </w:p>
    <w:p w:rsidR="00B21AD8" w:rsidRDefault="00B21AD8" w:rsidP="00B21AD8">
      <w:pPr>
        <w:jc w:val="both"/>
        <w:rPr>
          <w:i/>
        </w:rPr>
      </w:pPr>
      <w:r>
        <w:rPr>
          <w:i/>
        </w:rPr>
        <w:t>Uždavinys: Organizuoti kryptingą mokytojų asmeninį profesinį tobulėjimą. Metodinės veiklos efektyvumas.</w:t>
      </w:r>
    </w:p>
    <w:p w:rsidR="00B21AD8" w:rsidRDefault="00B21AD8" w:rsidP="00B21AD8">
      <w:pPr>
        <w:jc w:val="both"/>
        <w:outlineLvl w:val="0"/>
        <w:rPr>
          <w:bCs/>
        </w:rPr>
      </w:pPr>
      <w:r>
        <w:rPr>
          <w:bCs/>
        </w:rPr>
        <w:t>Organizuoti seminarai:</w:t>
      </w:r>
    </w:p>
    <w:p w:rsidR="00B21AD8" w:rsidRDefault="00B21AD8" w:rsidP="00B21AD8">
      <w:pPr>
        <w:pStyle w:val="Sraopastraipa"/>
        <w:jc w:val="both"/>
        <w:outlineLvl w:val="0"/>
        <w:rPr>
          <w:bCs/>
        </w:rPr>
      </w:pPr>
      <w:r>
        <w:t>-,,Lyderystė ugdymo įstaigoje“ (2015-04-27)</w:t>
      </w:r>
    </w:p>
    <w:p w:rsidR="00B21AD8" w:rsidRDefault="00B21AD8" w:rsidP="00B21AD8">
      <w:pPr>
        <w:pStyle w:val="Sraopastraipa"/>
        <w:jc w:val="both"/>
        <w:outlineLvl w:val="0"/>
      </w:pPr>
      <w:r>
        <w:t>-,,Kūrybiniai ir aktyvūs mokytojo darbo metodai su mokiniais“ (2015-05-28)</w:t>
      </w:r>
    </w:p>
    <w:p w:rsidR="00B21AD8" w:rsidRDefault="00B21AD8" w:rsidP="00B21AD8">
      <w:pPr>
        <w:jc w:val="both"/>
        <w:outlineLvl w:val="0"/>
        <w:rPr>
          <w:bCs/>
        </w:rPr>
      </w:pPr>
      <w:r>
        <w:rPr>
          <w:bCs/>
        </w:rPr>
        <w:t>Mokytojai dalyvavo mokymuose, seminaruose, projektuose (savianalizės anketos, ataskaitos):</w:t>
      </w:r>
    </w:p>
    <w:p w:rsidR="00B21AD8" w:rsidRDefault="00B21AD8" w:rsidP="00B21AD8">
      <w:pPr>
        <w:pStyle w:val="Sraopastraipa"/>
        <w:ind w:left="780"/>
        <w:jc w:val="both"/>
        <w:outlineLvl w:val="0"/>
        <w:rPr>
          <w:bCs/>
        </w:rPr>
      </w:pPr>
      <w:r>
        <w:rPr>
          <w:bCs/>
        </w:rPr>
        <w:t xml:space="preserve"> Stažuočių projektas </w:t>
      </w:r>
      <w:r>
        <w:rPr>
          <w:lang w:eastAsia="ar-SA"/>
        </w:rPr>
        <w:t>ŠMM, projekto kodas VP1-2.2-ŠMM-02-V-01-010;</w:t>
      </w:r>
    </w:p>
    <w:p w:rsidR="00B21AD8" w:rsidRDefault="00B21AD8" w:rsidP="00B21AD8">
      <w:pPr>
        <w:pStyle w:val="Sraopastraipa"/>
        <w:ind w:left="360"/>
        <w:jc w:val="both"/>
        <w:outlineLvl w:val="0"/>
        <w:rPr>
          <w:bCs/>
        </w:rPr>
      </w:pPr>
      <w:r>
        <w:rPr>
          <w:lang w:eastAsia="ar-SA"/>
        </w:rPr>
        <w:t xml:space="preserve">        Tarptautiniai mokymai ,,Darbas su interaktyviomis lentomis“;</w:t>
      </w:r>
    </w:p>
    <w:p w:rsidR="00B21AD8" w:rsidRDefault="00B21AD8" w:rsidP="00B21AD8">
      <w:pPr>
        <w:pStyle w:val="Sraopastraipa"/>
        <w:ind w:left="0" w:hanging="66"/>
        <w:jc w:val="both"/>
        <w:outlineLvl w:val="0"/>
        <w:rPr>
          <w:bCs/>
        </w:rPr>
      </w:pPr>
      <w:r>
        <w:rPr>
          <w:lang w:eastAsia="ar-SA"/>
        </w:rPr>
        <w:t xml:space="preserve">                Projektas ,,Ugdymo turinio naujovių sklaidos modelis“ ŠMM, projekto kodas VP1-2.2-ŠMM-02-V-01-008.</w:t>
      </w:r>
    </w:p>
    <w:p w:rsidR="00B21AD8" w:rsidRDefault="00B21AD8" w:rsidP="00B21AD8">
      <w:pPr>
        <w:pStyle w:val="Sraopastraipa"/>
        <w:ind w:left="0" w:firstLine="360"/>
        <w:jc w:val="both"/>
        <w:outlineLvl w:val="0"/>
        <w:rPr>
          <w:bCs/>
        </w:rPr>
      </w:pPr>
      <w:r>
        <w:rPr>
          <w:bCs/>
        </w:rPr>
        <w:t xml:space="preserve">         Mokytojai skleidžia savo gerąją patirtį, kviečia į savo pamokas (apie 20 atvirų pamokų).</w:t>
      </w:r>
    </w:p>
    <w:p w:rsidR="00B21AD8" w:rsidRDefault="00B21AD8" w:rsidP="00B21AD8">
      <w:pPr>
        <w:pStyle w:val="Sraopastraipa"/>
        <w:ind w:left="0" w:firstLine="360"/>
        <w:jc w:val="both"/>
        <w:outlineLvl w:val="0"/>
        <w:rPr>
          <w:bCs/>
        </w:rPr>
      </w:pPr>
      <w:r>
        <w:rPr>
          <w:bCs/>
        </w:rPr>
        <w:t xml:space="preserve">         Jelena Jasevičienė (Butrimonių pagrindinės mokyklos mokytoja) dalyvavo lietuvių kalbos stažuotėje mūsų gimnazijoje (2015 m. sausis- kovas).</w:t>
      </w:r>
    </w:p>
    <w:p w:rsidR="00B21AD8" w:rsidRDefault="00B21AD8" w:rsidP="00B21AD8">
      <w:pPr>
        <w:tabs>
          <w:tab w:val="left" w:pos="709"/>
          <w:tab w:val="left" w:pos="851"/>
        </w:tabs>
        <w:jc w:val="both"/>
        <w:rPr>
          <w:bCs/>
        </w:rPr>
      </w:pPr>
      <w:r>
        <w:tab/>
        <w:t xml:space="preserve">  Vidutiniškai 2015 metais kiekvienas mokytojas panaudojo savo kvalifikacijai kelti 9 dienas. Rasytė Matulevičienė –  mokyklų išorės vertinimo ekspertė, Šalčininkų rajono lituanistų būrelio pirmininkė. Aleksandra Sinkevič ir Ana Nester – Šalčininkų rajono biologijos ir istorijos metodinių būrelių pirmininkės. </w:t>
      </w:r>
      <w:r>
        <w:rPr>
          <w:bCs/>
        </w:rPr>
        <w:t xml:space="preserve">Aleksandra Sinkevič – geriausia metų biologijos mokytoja (tarp lenkų mokyklų). Mokytojai raginami bendradarbiauti tarpusavy (integruotos pamokos, bendri renginiai, </w:t>
      </w:r>
      <w:r>
        <w:t>Kolegialaus grįžtamojo ryšio metodika).  Gimnazijoje susitarta dėl metodinės veiklos ir mokytojų kompetencijų vertinimo (kiekvienas mokytojas mokslo metų pabaigoje savianalizės anketoje įvertina savo veiklą ir numato tobulėjimo kryptis.</w:t>
      </w:r>
    </w:p>
    <w:p w:rsidR="00B21AD8" w:rsidRDefault="00B21AD8" w:rsidP="00B21AD8">
      <w:pPr>
        <w:tabs>
          <w:tab w:val="left" w:pos="709"/>
          <w:tab w:val="left" w:pos="851"/>
        </w:tabs>
        <w:jc w:val="both"/>
        <w:rPr>
          <w:i/>
        </w:rPr>
      </w:pPr>
      <w:r>
        <w:rPr>
          <w:i/>
        </w:rPr>
        <w:t>Uždavinys: Mokinių tėvų  švietimas  ir aktyvumo skatinimas.</w:t>
      </w:r>
    </w:p>
    <w:p w:rsidR="00B21AD8" w:rsidRDefault="00B21AD8" w:rsidP="00B21AD8">
      <w:pPr>
        <w:ind w:firstLine="360"/>
        <w:jc w:val="both"/>
        <w:outlineLvl w:val="0"/>
        <w:rPr>
          <w:bCs/>
        </w:rPr>
      </w:pPr>
      <w:r>
        <w:rPr>
          <w:bCs/>
        </w:rPr>
        <w:t xml:space="preserve">         Pagal IQonleins tyrimus tėvai gerai įvertina gimnazijos veiklą: 3,2 (mažiausiai gavo) tėvai įvertino tėvų švietimą įstaigoje ir savo vaikų akademinius pasiekimus, 3,9 įvertino kultūrinę – pažintinę veiklą.</w:t>
      </w:r>
    </w:p>
    <w:p w:rsidR="00B21AD8" w:rsidRDefault="00B21AD8" w:rsidP="00B21AD8">
      <w:pPr>
        <w:ind w:firstLine="720"/>
        <w:jc w:val="both"/>
        <w:rPr>
          <w:bCs/>
        </w:rPr>
      </w:pPr>
      <w:r>
        <w:rPr>
          <w:bCs/>
        </w:rPr>
        <w:t xml:space="preserve">   2015 metais pradinių klasių tėvai (iš dalies) dalyvavo ugdymo turinio planavime ir organizavime: vedė pamokas, lydėjo mokinius kultūrinėje  pažintinėje veikloje, dalyvavo akcijose, budėjo diskotekose. 2 klasės mokiniai ir jų tėvai dalyvavo projekte ,,Plaukimo pamokėlės“. Darbas su tėvais lieka naujos strategijos prioritetu. </w:t>
      </w:r>
      <w:r>
        <w:t xml:space="preserve">Siekiant geriau informuoti mokinių tėvus (globėjus) apie mokinių veiklą bei pasiekimus gimnazijoje, gimnazijoje veiksmingai naudojamas elektroninis dienynas. </w:t>
      </w:r>
      <w:r>
        <w:rPr>
          <w:bCs/>
        </w:rPr>
        <w:t>Dėka jo 8 % mokinių pagerino savo pasiekimus (kai tėvai pradėjo kontroliuoti).</w:t>
      </w:r>
    </w:p>
    <w:p w:rsidR="00B21AD8" w:rsidRDefault="00B21AD8" w:rsidP="00B21AD8">
      <w:pPr>
        <w:pStyle w:val="Sraopastraipa"/>
        <w:tabs>
          <w:tab w:val="left" w:pos="1440"/>
        </w:tabs>
        <w:ind w:left="0"/>
        <w:jc w:val="both"/>
        <w:rPr>
          <w:b/>
        </w:rPr>
      </w:pPr>
      <w:r>
        <w:rPr>
          <w:color w:val="000000"/>
        </w:rPr>
        <w:t>2014-2015 m. m. tėvų iniciatyva buvo atnaujintos mokinių uniformos. Gimnazijoje vyresniųjų klasių mokiniams organizuojamos diskotekos. Tėvai domisi vaikų laisvalaikiu ir rūpinasi vaikų saugumu, todėl parodė iniciatyvą budėti kartu su mokytojais diskotekose.</w:t>
      </w:r>
    </w:p>
    <w:p w:rsidR="00B21AD8" w:rsidRDefault="00B21AD8" w:rsidP="00B21AD8">
      <w:pPr>
        <w:pStyle w:val="Sraopastraipa"/>
        <w:tabs>
          <w:tab w:val="left" w:pos="1440"/>
        </w:tabs>
        <w:ind w:left="0"/>
        <w:jc w:val="both"/>
      </w:pPr>
      <w:r>
        <w:rPr>
          <w:b/>
        </w:rPr>
        <w:t>Ryškiausi mokinių pasiekimai</w:t>
      </w:r>
      <w:r>
        <w:t>:</w:t>
      </w:r>
    </w:p>
    <w:p w:rsidR="00B21AD8" w:rsidRDefault="00B21AD8" w:rsidP="00B21AD8">
      <w:pPr>
        <w:pStyle w:val="Sraopastraipa11"/>
        <w:numPr>
          <w:ilvl w:val="0"/>
          <w:numId w:val="30"/>
        </w:numPr>
        <w:jc w:val="both"/>
        <w:outlineLvl w:val="0"/>
        <w:rPr>
          <w:lang w:val="lt-LT"/>
        </w:rPr>
      </w:pPr>
      <w:r>
        <w:rPr>
          <w:lang w:val="lt-LT"/>
        </w:rPr>
        <w:t>Rajono mokyklų  mokinių olimpinio festivalis – III vieta.</w:t>
      </w:r>
    </w:p>
    <w:p w:rsidR="00B21AD8" w:rsidRDefault="00B21AD8" w:rsidP="00B21AD8">
      <w:pPr>
        <w:pStyle w:val="Sraopastraipa11"/>
        <w:numPr>
          <w:ilvl w:val="0"/>
          <w:numId w:val="30"/>
        </w:numPr>
        <w:jc w:val="both"/>
        <w:outlineLvl w:val="0"/>
        <w:rPr>
          <w:lang w:val="lt-LT"/>
        </w:rPr>
      </w:pPr>
      <w:r>
        <w:rPr>
          <w:lang w:val="lt-LT"/>
        </w:rPr>
        <w:t>Biologijos  olimpiada (rajono) – III vietą pelnė RafalŠumski, 2015-01-23.</w:t>
      </w:r>
    </w:p>
    <w:p w:rsidR="00B21AD8" w:rsidRDefault="00B21AD8" w:rsidP="00B21AD8">
      <w:pPr>
        <w:pStyle w:val="Sraopastraipa11"/>
        <w:numPr>
          <w:ilvl w:val="0"/>
          <w:numId w:val="30"/>
        </w:numPr>
        <w:jc w:val="both"/>
        <w:outlineLvl w:val="0"/>
        <w:rPr>
          <w:lang w:val="lt-LT"/>
        </w:rPr>
      </w:pPr>
      <w:r>
        <w:rPr>
          <w:lang w:val="lt-LT"/>
        </w:rPr>
        <w:t xml:space="preserve"> ,,Mažasis eruditas“ – II vietą laimėjo TomašVoitkevič.</w:t>
      </w:r>
    </w:p>
    <w:p w:rsidR="00B21AD8" w:rsidRDefault="00B21AD8" w:rsidP="00B21AD8">
      <w:pPr>
        <w:pStyle w:val="Sraopastraipa11"/>
        <w:numPr>
          <w:ilvl w:val="0"/>
          <w:numId w:val="30"/>
        </w:numPr>
        <w:jc w:val="both"/>
        <w:outlineLvl w:val="0"/>
        <w:rPr>
          <w:lang w:val="lt-LT"/>
        </w:rPr>
      </w:pPr>
      <w:r>
        <w:rPr>
          <w:lang w:val="lt-LT"/>
        </w:rPr>
        <w:t>Fondo ,,Jankomuzykant“ stipendija  – AgnieškaVoitechovič.</w:t>
      </w:r>
    </w:p>
    <w:p w:rsidR="00B21AD8" w:rsidRDefault="00B21AD8" w:rsidP="00B21AD8">
      <w:pPr>
        <w:pStyle w:val="Sraopastraipa11"/>
        <w:numPr>
          <w:ilvl w:val="0"/>
          <w:numId w:val="30"/>
        </w:numPr>
        <w:jc w:val="both"/>
        <w:outlineLvl w:val="0"/>
        <w:rPr>
          <w:lang w:val="lt-LT"/>
        </w:rPr>
      </w:pPr>
      <w:r>
        <w:rPr>
          <w:lang w:val="lt-LT"/>
        </w:rPr>
        <w:t>Geriausių mokyklų reitinguose – geri chemijos VBE rezultatai.</w:t>
      </w:r>
    </w:p>
    <w:p w:rsidR="00B21AD8" w:rsidRDefault="00B21AD8" w:rsidP="00B21AD8">
      <w:pPr>
        <w:numPr>
          <w:ilvl w:val="0"/>
          <w:numId w:val="30"/>
        </w:numPr>
        <w:jc w:val="both"/>
        <w:rPr>
          <w:bCs/>
        </w:rPr>
      </w:pPr>
      <w:r>
        <w:rPr>
          <w:bCs/>
        </w:rPr>
        <w:t>Biologijos konkursas – A. Drab, IG kl. moksleivė,  III vieta, D. Požaricka, 8 kl. I vieta, darbai demonstruoti rajoninėje parodoje, Šalčininkų savivaldybė;</w:t>
      </w:r>
    </w:p>
    <w:p w:rsidR="00B21AD8" w:rsidRDefault="00B21AD8" w:rsidP="00B21AD8">
      <w:pPr>
        <w:numPr>
          <w:ilvl w:val="0"/>
          <w:numId w:val="30"/>
        </w:numPr>
        <w:jc w:val="both"/>
        <w:rPr>
          <w:bCs/>
        </w:rPr>
      </w:pPr>
      <w:r>
        <w:rPr>
          <w:bCs/>
        </w:rPr>
        <w:t>Marijola Voitkevič nominuota konkursui ,,Geriausias 2015 metų mokinys“.</w:t>
      </w:r>
    </w:p>
    <w:p w:rsidR="00B21AD8" w:rsidRDefault="00B21AD8" w:rsidP="00B21AD8">
      <w:pPr>
        <w:ind w:firstLine="720"/>
        <w:jc w:val="both"/>
        <w:rPr>
          <w:b/>
        </w:rPr>
      </w:pPr>
      <w:r>
        <w:rPr>
          <w:b/>
        </w:rPr>
        <w:t>Pagalbos organizavimas:</w:t>
      </w:r>
    </w:p>
    <w:p w:rsidR="00B21AD8" w:rsidRDefault="00B21AD8" w:rsidP="00B21AD8">
      <w:pPr>
        <w:ind w:firstLine="720"/>
        <w:jc w:val="both"/>
        <w:rPr>
          <w:color w:val="FF0000"/>
        </w:rPr>
      </w:pPr>
      <w:r>
        <w:t xml:space="preserve">Gimnazijoje 2015 metais pedagoginė pagalba teikta 8 specialiųjų poreikių mokiniams. </w:t>
      </w:r>
      <w:r>
        <w:rPr>
          <w:shd w:val="clear" w:color="auto" w:fill="FFFFFF"/>
        </w:rPr>
        <w:t xml:space="preserve">Švietimo pagalbos gavėjų, turinčių kalbos ir komunikacijos sutrikimų, sąraše buvo 24 mokiniai (2014 metais – 30). </w:t>
      </w:r>
      <w:r>
        <w:t>22 mokiniams suteikta socialinio pedagogo pagalba</w:t>
      </w:r>
      <w:r>
        <w:rPr>
          <w:shd w:val="clear" w:color="auto" w:fill="FFFFFF"/>
        </w:rPr>
        <w:t xml:space="preserve">. </w:t>
      </w:r>
      <w:r>
        <w:t>Greta pradinio, pagrindinio ir vidurinio ugdymo programų vykdytos ir meninio ugdymo, kultūrinio ugdymo bei neformalaus mokinių švietimo programos, kuriose dalyvaudami mokiniai tenkino meninio, kūrybinio ir kultūrinio ugdymosi poreikius. 2015 metais panaudotos 18 neformaliojo švietimo valandos. Socialinė veikla gimnazijoje integruota į projektus, akcijas, veiklas, klasės auklėtojo veiklą. 2 klasės mokiniai dalyvavo projekte Šalčininkų Lietuvos tūkstantmečio gimnazijoje ,,Plaukimo pamokėlės“. Pradinių klasių mokiniai dalyvavo neformaliojo švietimo programoje ,,Mažųjų chemikų įdomūs bandymai“. Vykdomos programos: ,,Pienas nemokamai“ ir ,,Vaisiai vaikams“.</w:t>
      </w:r>
      <w:r>
        <w:rPr>
          <w:bCs/>
        </w:rPr>
        <w:t>Mokiniai (</w:t>
      </w:r>
      <w:r>
        <w:t xml:space="preserve">IQESonline.lt ) </w:t>
      </w:r>
      <w:r>
        <w:rPr>
          <w:bCs/>
        </w:rPr>
        <w:t>vertina gimnazijos pamokinę ir neformaliąją  veiklą 3,5; Patenkinti, kad mokosi mūsų gimnazijoje – 3,6 (pagerėjo 9 %); Jaučiasi saugūs – 3,5 (pagerėjo 8%); Santykiai su mokytojais ir pasitikėjimas mokytojais – 3,4 (pagerėjo 8%).</w:t>
      </w:r>
    </w:p>
    <w:p w:rsidR="00B21AD8" w:rsidRDefault="00B21AD8" w:rsidP="00B21AD8">
      <w:pPr>
        <w:jc w:val="both"/>
        <w:rPr>
          <w:b/>
        </w:rPr>
      </w:pPr>
    </w:p>
    <w:p w:rsidR="00B21AD8" w:rsidRDefault="00B21AD8" w:rsidP="00B21AD8">
      <w:pPr>
        <w:jc w:val="both"/>
        <w:rPr>
          <w:b/>
        </w:rPr>
      </w:pPr>
      <w:r>
        <w:rPr>
          <w:b/>
        </w:rPr>
        <w:t>Tikslas 2: Gimnazijos strateginio plano parengimas 2016-2018 metams.</w:t>
      </w:r>
    </w:p>
    <w:p w:rsidR="00B21AD8" w:rsidRDefault="00B21AD8" w:rsidP="00B21AD8">
      <w:pPr>
        <w:jc w:val="both"/>
        <w:rPr>
          <w:i/>
        </w:rPr>
      </w:pPr>
      <w:r>
        <w:rPr>
          <w:i/>
        </w:rPr>
        <w:t>Uždavinys: Parengti gimnazijos strateginį planą 2016-2018 metams.</w:t>
      </w:r>
    </w:p>
    <w:p w:rsidR="00B21AD8" w:rsidRDefault="00B21AD8" w:rsidP="00B21AD8">
      <w:pPr>
        <w:ind w:firstLine="1296"/>
        <w:jc w:val="both"/>
      </w:pPr>
      <w:r>
        <w:t>2015 m. gruodžio 31 d. Šalčininkų rajono savivaldybės administracijos direktorius įsakymu Nr. DĮV -1928 pritarė Šalčininkų rajono Butrimonių Anos Krepštul gimnazijos  2016-2018 metų strateginiam planui.</w:t>
      </w:r>
    </w:p>
    <w:p w:rsidR="00B21AD8" w:rsidRDefault="00B21AD8" w:rsidP="00B21AD8">
      <w:pPr>
        <w:jc w:val="both"/>
        <w:outlineLvl w:val="0"/>
        <w:rPr>
          <w:b/>
          <w:bCs/>
          <w:iCs/>
        </w:rPr>
      </w:pPr>
      <w:r>
        <w:rPr>
          <w:b/>
          <w:bCs/>
          <w:iCs/>
        </w:rPr>
        <w:t>Vizija:</w:t>
      </w:r>
    </w:p>
    <w:p w:rsidR="00B21AD8" w:rsidRDefault="00B21AD8" w:rsidP="00B21AD8">
      <w:pPr>
        <w:ind w:firstLine="708"/>
        <w:jc w:val="both"/>
        <w:rPr>
          <w:iCs/>
        </w:rPr>
      </w:pPr>
      <w:r>
        <w:rPr>
          <w:iCs/>
        </w:rPr>
        <w:tab/>
        <w:t>Gimnazijoje mokosi siekiantys pažangos mokiniai. Tėvai aktyvūs mokytojų pagalbininkai ir gimnazijos gyvenimo dalyviai. Dirba profesionalus pedagogų kolektyvas. Puoselėjamos tradicijos, tautinis tapatumas, ugdomas sąmoningas Lietuvos pilietis.</w:t>
      </w:r>
    </w:p>
    <w:p w:rsidR="00B21AD8" w:rsidRDefault="00B21AD8" w:rsidP="00B21AD8">
      <w:pPr>
        <w:jc w:val="both"/>
        <w:outlineLvl w:val="0"/>
        <w:rPr>
          <w:b/>
          <w:bCs/>
          <w:iCs/>
        </w:rPr>
      </w:pPr>
      <w:r>
        <w:rPr>
          <w:b/>
          <w:bCs/>
          <w:iCs/>
        </w:rPr>
        <w:t>Misija:</w:t>
      </w:r>
    </w:p>
    <w:p w:rsidR="00B21AD8" w:rsidRDefault="00B21AD8" w:rsidP="00B21AD8">
      <w:pPr>
        <w:ind w:firstLine="708"/>
        <w:rPr>
          <w:iCs/>
        </w:rPr>
      </w:pPr>
      <w:r>
        <w:rPr>
          <w:iCs/>
        </w:rPr>
        <w:t xml:space="preserve">Gimnazija suteikia visapusišką ugdymą ir kokybišką išsilavinimą jaukioje, šiuolaikinėje ir saugioje aplinkoje. Glaudžiai bendradarbiauja su tėvais ir socialiniais partneriais.  </w:t>
      </w:r>
    </w:p>
    <w:p w:rsidR="00B21AD8" w:rsidRDefault="00B21AD8" w:rsidP="00B21AD8">
      <w:pPr>
        <w:tabs>
          <w:tab w:val="num" w:pos="720"/>
        </w:tabs>
        <w:ind w:firstLine="720"/>
        <w:jc w:val="both"/>
        <w:rPr>
          <w:bCs/>
        </w:rPr>
      </w:pPr>
      <w:r>
        <w:rPr>
          <w:bCs/>
        </w:rPr>
        <w:t xml:space="preserve">1. Tikslas: Veiksmingo ir kokybiško ugdymo(si) užtikrinimas. Akademinės ir asmeninės pažangos siekimas. </w:t>
      </w:r>
    </w:p>
    <w:p w:rsidR="00B21AD8" w:rsidRDefault="00B21AD8" w:rsidP="00B21AD8">
      <w:pPr>
        <w:tabs>
          <w:tab w:val="num" w:pos="720"/>
        </w:tabs>
        <w:ind w:firstLine="720"/>
        <w:jc w:val="both"/>
        <w:rPr>
          <w:bCs/>
        </w:rPr>
      </w:pPr>
      <w:r>
        <w:rPr>
          <w:bCs/>
        </w:rPr>
        <w:t xml:space="preserve"> 2. Tikslas: Mokinių tėvų ir gimnazijos bendruomenės bendravimo gerinimas.</w:t>
      </w:r>
    </w:p>
    <w:p w:rsidR="00B21AD8" w:rsidRDefault="00B21AD8" w:rsidP="00B21AD8">
      <w:pPr>
        <w:tabs>
          <w:tab w:val="num" w:pos="720"/>
        </w:tabs>
        <w:ind w:firstLine="720"/>
        <w:jc w:val="both"/>
        <w:rPr>
          <w:bCs/>
        </w:rPr>
      </w:pPr>
      <w:r>
        <w:rPr>
          <w:bCs/>
        </w:rPr>
        <w:t xml:space="preserve"> 3. Tikslas: Kurti saugias ir modernias edukacines bei poilsio erdves. Ugdymo sąlygų gerinimas.</w:t>
      </w:r>
    </w:p>
    <w:p w:rsidR="00B21AD8" w:rsidRDefault="00B21AD8" w:rsidP="00B21AD8">
      <w:pPr>
        <w:jc w:val="both"/>
      </w:pPr>
      <w:r>
        <w:rPr>
          <w:b/>
        </w:rPr>
        <w:t>III. Mokymo(si ) aplinka</w:t>
      </w:r>
      <w:r>
        <w:t>.</w:t>
      </w:r>
    </w:p>
    <w:p w:rsidR="00B21AD8" w:rsidRDefault="00B21AD8" w:rsidP="00B21AD8">
      <w:pPr>
        <w:jc w:val="both"/>
      </w:pPr>
      <w:r>
        <w:rPr>
          <w:shd w:val="clear" w:color="auto" w:fill="FFFFFF"/>
        </w:rPr>
        <w:t xml:space="preserve">             2015 metais buvo pavežami 112 mokiniai (2014 metais – 134 mokiniai). Mokiniai pavežami   visuomeniniu transportu, mokykliniu autobusiuku (19 vietų) ir priskirtu mikroautobusiuku (14 vietų).  Nemokamą maitinimą gavo 96 mokiniai (2014 metais – 117). </w:t>
      </w:r>
    </w:p>
    <w:p w:rsidR="00B21AD8" w:rsidRDefault="00B21AD8" w:rsidP="00B21AD8">
      <w:pPr>
        <w:jc w:val="both"/>
      </w:pPr>
      <w:r>
        <w:t xml:space="preserve">Mokyklos vadovas nuolatos rūpinasi gimnazijoje įgyvendinama veikla. Skatinamas gimnazijos meninio ir kultūrinio ugdymo programų tobulinimas, numatytų veiklos uždavinių kokybiškas įgyvendinimas, puoselėjami demokratišku ir kolegišku sprendimų priėmimu sąlygoti darbuotojų santykiai, geras mikroklimatas. Veikia  muziejus. Gimnazija bendradarbiauja ir bendrauja su švietimo, kultūros ir socialinėmis įstaigomis. Kartu su socialiniais partneriais organizuojami renginiai, koncertai, vakaronės, pilietinės akcijos, aukštųjų mokyklų studentai gimnazijoje atlieka praktiką, vyksta gerosios profesinės praktikos sklaida. </w:t>
      </w:r>
    </w:p>
    <w:p w:rsidR="00B21AD8" w:rsidRDefault="00B21AD8" w:rsidP="00B21AD8">
      <w:pPr>
        <w:pStyle w:val="Sraopastraipa11"/>
        <w:ind w:left="0"/>
        <w:jc w:val="both"/>
        <w:outlineLvl w:val="0"/>
        <w:rPr>
          <w:lang w:val="lt-LT"/>
        </w:rPr>
      </w:pPr>
      <w:r>
        <w:rPr>
          <w:lang w:val="lt-LT"/>
        </w:rPr>
        <w:t xml:space="preserve">            Sustiprėjo gimnazijos bendravimas su seniūnijos bendruomene,  bendradarbiaujama su seniūne, ūkininkais, verslininkais. Jų pagalba (gavome parama konkursui – 895 EUR) ir direktorės iniciatyva jau trečią kartą organizuotas ir įgyvendintas tarptautinis mokinių kūrybos konkursas, skirtas A. Krepštul kūrybai garsinti ,,Spalvotas pasaulis“. Konkurso laureatams organizuotas  5 dienų vasaros pleneras. Konkurse dalyvavo 283 dalyviai iš Lietuvos, Lenkijos. Plenere dalyvavo 20 laureatų.</w:t>
      </w:r>
    </w:p>
    <w:p w:rsidR="00B21AD8" w:rsidRDefault="00B21AD8" w:rsidP="00B21AD8">
      <w:pPr>
        <w:spacing w:line="254" w:lineRule="auto"/>
        <w:jc w:val="both"/>
      </w:pPr>
      <w:r>
        <w:t xml:space="preserve">            Stengiamasi pritraukti papildomų lėšų gimnazijos aplinkai gerinti. 2015 metais Lenkijos Respublikos Ambasada Vilniuje padovanojo gimnazijai grožinės literatūros</w:t>
      </w:r>
      <w:r>
        <w:rPr>
          <w:color w:val="000000"/>
        </w:rPr>
        <w:t xml:space="preserve">, iš </w:t>
      </w:r>
      <w:r>
        <w:t>VšĮ Lietuvos laisvosios rinkos institutas gauti ekonomikos vadovėliai (23 vnt.), iš Lenkijos draugijos ,,Pomoc Polakom na Wschodzie“ gauta garso aparatūra, ugdymo priemonės 1 klasės mokiniams (15 vnt).</w:t>
      </w:r>
    </w:p>
    <w:p w:rsidR="00B21AD8" w:rsidRDefault="00B21AD8" w:rsidP="00B21AD8">
      <w:pPr>
        <w:jc w:val="both"/>
      </w:pPr>
      <w:r>
        <w:rPr>
          <w:b/>
        </w:rPr>
        <w:t>IV. PUPP, Brandos egzaminų rezultatai, tolesnė dešimtokų, abiturientų veikla</w:t>
      </w:r>
      <w:r>
        <w:t>.</w:t>
      </w:r>
    </w:p>
    <w:p w:rsidR="00B21AD8" w:rsidRDefault="00B21AD8" w:rsidP="00B21AD8">
      <w:pPr>
        <w:ind w:firstLine="720"/>
        <w:jc w:val="both"/>
      </w:pPr>
      <w:r>
        <w:t>2015 metais mokykloje vidurinį išsilavinimą įgijo 12 mokinių,  į aukštąsias mokyklas įstojo 4 mokiniai. Pagrindinį išsilavinimą įgijo 10 mokinių, iš jų 8 tęsė mokslą Butrimonių Anos Krepštul gimnazijoje.</w:t>
      </w:r>
    </w:p>
    <w:p w:rsidR="00B21AD8" w:rsidRDefault="00B21AD8" w:rsidP="00B21AD8">
      <w:pPr>
        <w:jc w:val="both"/>
        <w:rPr>
          <w:b/>
        </w:rPr>
      </w:pPr>
      <w:r>
        <w:rPr>
          <w:b/>
        </w:rPr>
        <w:t>Valstybiniai egzaminai: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642"/>
        <w:gridCol w:w="1642"/>
        <w:gridCol w:w="1642"/>
        <w:gridCol w:w="1643"/>
        <w:gridCol w:w="1643"/>
      </w:tblGrid>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rPr>
                <w:b/>
              </w:rPr>
            </w:pPr>
            <w:r>
              <w:rPr>
                <w:b/>
              </w:rPr>
              <w:t xml:space="preserve">Egzaminas </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rPr>
                <w:b/>
              </w:rPr>
            </w:pPr>
            <w:r>
              <w:rPr>
                <w:b/>
              </w:rPr>
              <w:t>Laikė</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rPr>
                <w:b/>
              </w:rPr>
            </w:pPr>
            <w:r>
              <w:rPr>
                <w:b/>
              </w:rPr>
              <w:t xml:space="preserve">Neišlaikė </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rPr>
                <w:b/>
              </w:rPr>
            </w:pPr>
            <w:r>
              <w:rPr>
                <w:b/>
              </w:rPr>
              <w:t>16-35</w:t>
            </w: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rPr>
                <w:b/>
              </w:rPr>
            </w:pPr>
            <w:r>
              <w:rPr>
                <w:b/>
              </w:rPr>
              <w:t>36-85</w:t>
            </w: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rPr>
                <w:b/>
              </w:rPr>
            </w:pPr>
            <w:r>
              <w:rPr>
                <w:b/>
              </w:rPr>
              <w:t>86-100</w:t>
            </w:r>
          </w:p>
        </w:tc>
      </w:tr>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Lietuvių kalba ir literatūra</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6</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5</w:t>
            </w: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r>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 xml:space="preserve">Matematika </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2</w:t>
            </w: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r>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 xml:space="preserve">Istorija </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6</w:t>
            </w: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2</w:t>
            </w: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4</w:t>
            </w: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r>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Biologija</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3</w:t>
            </w: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2</w:t>
            </w: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r>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Chemija</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r>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r>
              <w:t>Rusų kalba (užsienio)</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9</w:t>
            </w: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8</w:t>
            </w:r>
          </w:p>
        </w:tc>
        <w:tc>
          <w:tcPr>
            <w:tcW w:w="1643"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r>
      <w:tr w:rsidR="00B21AD8" w:rsidTr="00B21AD8">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Anglų kalba</w:t>
            </w:r>
          </w:p>
          <w:p w:rsidR="00B21AD8" w:rsidRDefault="00B21AD8">
            <w:pPr>
              <w:jc w:val="both"/>
            </w:pPr>
            <w:r>
              <w:t>(užsienio)</w:t>
            </w: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2"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2" w:type="dxa"/>
            <w:tcBorders>
              <w:top w:val="single" w:sz="4" w:space="0" w:color="000000"/>
              <w:left w:val="single" w:sz="4" w:space="0" w:color="000000"/>
              <w:bottom w:val="single" w:sz="4" w:space="0" w:color="000000"/>
              <w:right w:val="single" w:sz="4" w:space="0" w:color="000000"/>
            </w:tcBorders>
            <w:hideMark/>
          </w:tcPr>
          <w:p w:rsidR="00B21AD8" w:rsidRDefault="00B21AD8">
            <w:pPr>
              <w:jc w:val="both"/>
            </w:pPr>
            <w:r>
              <w:t>1</w:t>
            </w: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c>
          <w:tcPr>
            <w:tcW w:w="1643" w:type="dxa"/>
            <w:tcBorders>
              <w:top w:val="single" w:sz="4" w:space="0" w:color="000000"/>
              <w:left w:val="single" w:sz="4" w:space="0" w:color="000000"/>
              <w:bottom w:val="single" w:sz="4" w:space="0" w:color="000000"/>
              <w:right w:val="single" w:sz="4" w:space="0" w:color="000000"/>
            </w:tcBorders>
          </w:tcPr>
          <w:p w:rsidR="00B21AD8" w:rsidRDefault="00B21AD8">
            <w:pPr>
              <w:jc w:val="both"/>
            </w:pPr>
          </w:p>
        </w:tc>
      </w:tr>
    </w:tbl>
    <w:p w:rsidR="00B21AD8" w:rsidRDefault="00B21AD8" w:rsidP="00B21AD8">
      <w:pPr>
        <w:jc w:val="both"/>
      </w:pPr>
    </w:p>
    <w:p w:rsidR="00B21AD8" w:rsidRDefault="00B21AD8" w:rsidP="00B21AD8">
      <w:pPr>
        <w:jc w:val="both"/>
      </w:pPr>
      <w:r>
        <w:rPr>
          <w:b/>
        </w:rPr>
        <w:t>Mokykliniai egzaminai</w:t>
      </w:r>
      <w:r>
        <w:rPr>
          <w:i/>
        </w:rPr>
        <w:t>:</w:t>
      </w:r>
      <w:r>
        <w:t xml:space="preserve"> gimtoji kalba – 12, išlaikė visi; lietuvių kalba ir literatūra laikė 6 – išlaikė visi </w:t>
      </w:r>
    </w:p>
    <w:p w:rsidR="00B21AD8" w:rsidRDefault="00B21AD8" w:rsidP="00B21AD8">
      <w:pPr>
        <w:jc w:val="both"/>
        <w:rPr>
          <w:b/>
        </w:rPr>
      </w:pPr>
      <w:r>
        <w:rPr>
          <w:b/>
        </w:rPr>
        <w:t>PUPP:</w:t>
      </w:r>
    </w:p>
    <w:p w:rsidR="00B21AD8" w:rsidRDefault="00B21AD8" w:rsidP="00B21AD8">
      <w:pPr>
        <w:jc w:val="both"/>
        <w:rPr>
          <w:i/>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818"/>
        <w:gridCol w:w="725"/>
        <w:gridCol w:w="771"/>
        <w:gridCol w:w="771"/>
        <w:gridCol w:w="772"/>
        <w:gridCol w:w="772"/>
        <w:gridCol w:w="773"/>
        <w:gridCol w:w="772"/>
        <w:gridCol w:w="773"/>
        <w:gridCol w:w="772"/>
        <w:gridCol w:w="775"/>
      </w:tblGrid>
      <w:tr w:rsidR="00B21AD8" w:rsidTr="00B21AD8">
        <w:tc>
          <w:tcPr>
            <w:tcW w:w="1496" w:type="dxa"/>
            <w:tcBorders>
              <w:top w:val="single" w:sz="4" w:space="0" w:color="auto"/>
              <w:left w:val="single" w:sz="4" w:space="0" w:color="auto"/>
              <w:bottom w:val="single" w:sz="4" w:space="0" w:color="auto"/>
              <w:right w:val="single" w:sz="4" w:space="0" w:color="auto"/>
            </w:tcBorders>
            <w:hideMark/>
          </w:tcPr>
          <w:p w:rsidR="00B21AD8" w:rsidRDefault="00B21AD8">
            <w:r>
              <w:t>Mokinių skaičius -10</w:t>
            </w:r>
          </w:p>
        </w:tc>
        <w:tc>
          <w:tcPr>
            <w:tcW w:w="818" w:type="dxa"/>
            <w:tcBorders>
              <w:top w:val="single" w:sz="4" w:space="0" w:color="auto"/>
              <w:left w:val="single" w:sz="4" w:space="0" w:color="auto"/>
              <w:bottom w:val="single" w:sz="4" w:space="0" w:color="auto"/>
              <w:right w:val="single" w:sz="4" w:space="0" w:color="auto"/>
            </w:tcBorders>
          </w:tcPr>
          <w:p w:rsidR="00B21AD8" w:rsidRDefault="00B21AD8">
            <w:pPr>
              <w:jc w:val="center"/>
            </w:pPr>
          </w:p>
        </w:tc>
        <w:tc>
          <w:tcPr>
            <w:tcW w:w="7669" w:type="dxa"/>
            <w:gridSpan w:val="10"/>
            <w:tcBorders>
              <w:top w:val="single" w:sz="4" w:space="0" w:color="auto"/>
              <w:left w:val="single" w:sz="4" w:space="0" w:color="auto"/>
              <w:bottom w:val="single" w:sz="4" w:space="0" w:color="auto"/>
              <w:right w:val="single" w:sz="4" w:space="0" w:color="auto"/>
            </w:tcBorders>
            <w:hideMark/>
          </w:tcPr>
          <w:p w:rsidR="00B21AD8" w:rsidRDefault="00B21AD8">
            <w:pPr>
              <w:jc w:val="center"/>
            </w:pPr>
            <w:r>
              <w:t>Taškai/pažymys</w:t>
            </w:r>
          </w:p>
        </w:tc>
      </w:tr>
      <w:tr w:rsidR="00B21AD8" w:rsidTr="00B21AD8">
        <w:tc>
          <w:tcPr>
            <w:tcW w:w="1496" w:type="dxa"/>
            <w:tcBorders>
              <w:top w:val="single" w:sz="4" w:space="0" w:color="auto"/>
              <w:left w:val="single" w:sz="4" w:space="0" w:color="auto"/>
              <w:bottom w:val="single" w:sz="4" w:space="0" w:color="auto"/>
              <w:right w:val="single" w:sz="4" w:space="0" w:color="auto"/>
            </w:tcBorders>
          </w:tcPr>
          <w:p w:rsidR="00B21AD8" w:rsidRDefault="00B21AD8"/>
        </w:tc>
        <w:tc>
          <w:tcPr>
            <w:tcW w:w="818"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neat-vyko</w:t>
            </w:r>
          </w:p>
        </w:tc>
        <w:tc>
          <w:tcPr>
            <w:tcW w:w="725"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1</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2</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3</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4</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5</w:t>
            </w:r>
          </w:p>
        </w:tc>
        <w:tc>
          <w:tcPr>
            <w:tcW w:w="772"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6</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7</w:t>
            </w:r>
          </w:p>
        </w:tc>
        <w:tc>
          <w:tcPr>
            <w:tcW w:w="772"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8</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9</w:t>
            </w:r>
          </w:p>
        </w:tc>
        <w:tc>
          <w:tcPr>
            <w:tcW w:w="774" w:type="dxa"/>
            <w:tcBorders>
              <w:top w:val="single" w:sz="4" w:space="0" w:color="auto"/>
              <w:left w:val="single" w:sz="4" w:space="0" w:color="auto"/>
              <w:bottom w:val="single" w:sz="4" w:space="0" w:color="auto"/>
              <w:right w:val="single" w:sz="4" w:space="0" w:color="auto"/>
            </w:tcBorders>
            <w:hideMark/>
          </w:tcPr>
          <w:p w:rsidR="00B21AD8" w:rsidRDefault="00B21AD8">
            <w:pPr>
              <w:jc w:val="center"/>
            </w:pPr>
            <w:r>
              <w:t>10</w:t>
            </w:r>
          </w:p>
        </w:tc>
      </w:tr>
      <w:tr w:rsidR="00B21AD8" w:rsidTr="00B21AD8">
        <w:tc>
          <w:tcPr>
            <w:tcW w:w="1496" w:type="dxa"/>
            <w:tcBorders>
              <w:top w:val="single" w:sz="4" w:space="0" w:color="auto"/>
              <w:left w:val="single" w:sz="4" w:space="0" w:color="auto"/>
              <w:bottom w:val="single" w:sz="4" w:space="0" w:color="auto"/>
              <w:right w:val="single" w:sz="4" w:space="0" w:color="auto"/>
            </w:tcBorders>
            <w:hideMark/>
          </w:tcPr>
          <w:p w:rsidR="00B21AD8" w:rsidRDefault="00B21AD8">
            <w:r>
              <w:t>Lietuvių kalba</w:t>
            </w:r>
          </w:p>
        </w:tc>
        <w:tc>
          <w:tcPr>
            <w:tcW w:w="818" w:type="dxa"/>
            <w:tcBorders>
              <w:top w:val="single" w:sz="4" w:space="0" w:color="auto"/>
              <w:left w:val="single" w:sz="4" w:space="0" w:color="auto"/>
              <w:bottom w:val="single" w:sz="4" w:space="0" w:color="auto"/>
              <w:right w:val="single" w:sz="4" w:space="0" w:color="auto"/>
            </w:tcBorders>
          </w:tcPr>
          <w:p w:rsidR="00B21AD8" w:rsidRDefault="00B21AD8"/>
        </w:tc>
        <w:tc>
          <w:tcPr>
            <w:tcW w:w="725"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1</w:t>
            </w:r>
          </w:p>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2" w:type="dxa"/>
            <w:tcBorders>
              <w:top w:val="single" w:sz="4" w:space="0" w:color="auto"/>
              <w:left w:val="single" w:sz="4" w:space="0" w:color="auto"/>
              <w:bottom w:val="single" w:sz="4" w:space="0" w:color="auto"/>
              <w:right w:val="single" w:sz="4" w:space="0" w:color="auto"/>
            </w:tcBorders>
            <w:hideMark/>
          </w:tcPr>
          <w:p w:rsidR="00B21AD8" w:rsidRDefault="00B21AD8">
            <w:r>
              <w:t>1</w:t>
            </w:r>
          </w:p>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2" w:type="dxa"/>
            <w:tcBorders>
              <w:top w:val="single" w:sz="4" w:space="0" w:color="auto"/>
              <w:left w:val="single" w:sz="4" w:space="0" w:color="auto"/>
              <w:bottom w:val="single" w:sz="4" w:space="0" w:color="auto"/>
              <w:right w:val="single" w:sz="4" w:space="0" w:color="auto"/>
            </w:tcBorders>
            <w:hideMark/>
          </w:tcPr>
          <w:p w:rsidR="00B21AD8" w:rsidRDefault="00B21AD8">
            <w:r>
              <w:t>5</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1</w:t>
            </w:r>
          </w:p>
        </w:tc>
        <w:tc>
          <w:tcPr>
            <w:tcW w:w="774" w:type="dxa"/>
            <w:tcBorders>
              <w:top w:val="single" w:sz="4" w:space="0" w:color="auto"/>
              <w:left w:val="single" w:sz="4" w:space="0" w:color="auto"/>
              <w:bottom w:val="single" w:sz="4" w:space="0" w:color="auto"/>
              <w:right w:val="single" w:sz="4" w:space="0" w:color="auto"/>
            </w:tcBorders>
            <w:hideMark/>
          </w:tcPr>
          <w:p w:rsidR="00B21AD8" w:rsidRDefault="00B21AD8">
            <w:r>
              <w:t>2</w:t>
            </w:r>
          </w:p>
        </w:tc>
      </w:tr>
      <w:tr w:rsidR="00B21AD8" w:rsidTr="00B21AD8">
        <w:tc>
          <w:tcPr>
            <w:tcW w:w="1496" w:type="dxa"/>
            <w:tcBorders>
              <w:top w:val="single" w:sz="4" w:space="0" w:color="auto"/>
              <w:left w:val="single" w:sz="4" w:space="0" w:color="auto"/>
              <w:bottom w:val="single" w:sz="4" w:space="0" w:color="auto"/>
              <w:right w:val="single" w:sz="4" w:space="0" w:color="auto"/>
            </w:tcBorders>
          </w:tcPr>
          <w:p w:rsidR="00B21AD8" w:rsidRDefault="00B21AD8">
            <w:r>
              <w:t>Matematika</w:t>
            </w:r>
          </w:p>
          <w:p w:rsidR="00B21AD8" w:rsidRDefault="00B21AD8"/>
        </w:tc>
        <w:tc>
          <w:tcPr>
            <w:tcW w:w="818" w:type="dxa"/>
            <w:tcBorders>
              <w:top w:val="single" w:sz="4" w:space="0" w:color="auto"/>
              <w:left w:val="single" w:sz="4" w:space="0" w:color="auto"/>
              <w:bottom w:val="single" w:sz="4" w:space="0" w:color="auto"/>
              <w:right w:val="single" w:sz="4" w:space="0" w:color="auto"/>
            </w:tcBorders>
          </w:tcPr>
          <w:p w:rsidR="00B21AD8" w:rsidRDefault="00B21AD8"/>
        </w:tc>
        <w:tc>
          <w:tcPr>
            <w:tcW w:w="725"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1</w:t>
            </w:r>
          </w:p>
        </w:tc>
        <w:tc>
          <w:tcPr>
            <w:tcW w:w="772"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3</w:t>
            </w:r>
          </w:p>
        </w:tc>
        <w:tc>
          <w:tcPr>
            <w:tcW w:w="772"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3</w:t>
            </w:r>
          </w:p>
        </w:tc>
        <w:tc>
          <w:tcPr>
            <w:tcW w:w="774" w:type="dxa"/>
            <w:tcBorders>
              <w:top w:val="single" w:sz="4" w:space="0" w:color="auto"/>
              <w:left w:val="single" w:sz="4" w:space="0" w:color="auto"/>
              <w:bottom w:val="single" w:sz="4" w:space="0" w:color="auto"/>
              <w:right w:val="single" w:sz="4" w:space="0" w:color="auto"/>
            </w:tcBorders>
            <w:hideMark/>
          </w:tcPr>
          <w:p w:rsidR="00B21AD8" w:rsidRDefault="00B21AD8">
            <w:r>
              <w:t>3</w:t>
            </w:r>
          </w:p>
        </w:tc>
      </w:tr>
      <w:tr w:rsidR="00B21AD8" w:rsidTr="00B21AD8">
        <w:tc>
          <w:tcPr>
            <w:tcW w:w="1496" w:type="dxa"/>
            <w:tcBorders>
              <w:top w:val="single" w:sz="4" w:space="0" w:color="auto"/>
              <w:left w:val="single" w:sz="4" w:space="0" w:color="auto"/>
              <w:bottom w:val="single" w:sz="4" w:space="0" w:color="auto"/>
              <w:right w:val="single" w:sz="4" w:space="0" w:color="auto"/>
            </w:tcBorders>
            <w:hideMark/>
          </w:tcPr>
          <w:p w:rsidR="00B21AD8" w:rsidRDefault="00B21AD8">
            <w:r>
              <w:t>Lenkų kalba gimtoji</w:t>
            </w:r>
          </w:p>
        </w:tc>
        <w:tc>
          <w:tcPr>
            <w:tcW w:w="818" w:type="dxa"/>
            <w:tcBorders>
              <w:top w:val="single" w:sz="4" w:space="0" w:color="auto"/>
              <w:left w:val="single" w:sz="4" w:space="0" w:color="auto"/>
              <w:bottom w:val="single" w:sz="4" w:space="0" w:color="auto"/>
              <w:right w:val="single" w:sz="4" w:space="0" w:color="auto"/>
            </w:tcBorders>
          </w:tcPr>
          <w:p w:rsidR="00B21AD8" w:rsidRDefault="00B21AD8"/>
        </w:tc>
        <w:tc>
          <w:tcPr>
            <w:tcW w:w="725"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1</w:t>
            </w:r>
          </w:p>
        </w:tc>
        <w:tc>
          <w:tcPr>
            <w:tcW w:w="772" w:type="dxa"/>
            <w:tcBorders>
              <w:top w:val="single" w:sz="4" w:space="0" w:color="auto"/>
              <w:left w:val="single" w:sz="4" w:space="0" w:color="auto"/>
              <w:bottom w:val="single" w:sz="4" w:space="0" w:color="auto"/>
              <w:right w:val="single" w:sz="4" w:space="0" w:color="auto"/>
            </w:tcBorders>
          </w:tcPr>
          <w:p w:rsidR="00B21AD8" w:rsidRDefault="00B21AD8"/>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1</w:t>
            </w:r>
          </w:p>
        </w:tc>
        <w:tc>
          <w:tcPr>
            <w:tcW w:w="772" w:type="dxa"/>
            <w:tcBorders>
              <w:top w:val="single" w:sz="4" w:space="0" w:color="auto"/>
              <w:left w:val="single" w:sz="4" w:space="0" w:color="auto"/>
              <w:bottom w:val="single" w:sz="4" w:space="0" w:color="auto"/>
              <w:right w:val="single" w:sz="4" w:space="0" w:color="auto"/>
            </w:tcBorders>
            <w:hideMark/>
          </w:tcPr>
          <w:p w:rsidR="00B21AD8" w:rsidRDefault="00B21AD8">
            <w:r>
              <w:t>4</w:t>
            </w:r>
          </w:p>
        </w:tc>
        <w:tc>
          <w:tcPr>
            <w:tcW w:w="771" w:type="dxa"/>
            <w:tcBorders>
              <w:top w:val="single" w:sz="4" w:space="0" w:color="auto"/>
              <w:left w:val="single" w:sz="4" w:space="0" w:color="auto"/>
              <w:bottom w:val="single" w:sz="4" w:space="0" w:color="auto"/>
              <w:right w:val="single" w:sz="4" w:space="0" w:color="auto"/>
            </w:tcBorders>
            <w:hideMark/>
          </w:tcPr>
          <w:p w:rsidR="00B21AD8" w:rsidRDefault="00B21AD8">
            <w:r>
              <w:t>4</w:t>
            </w:r>
          </w:p>
        </w:tc>
        <w:tc>
          <w:tcPr>
            <w:tcW w:w="774" w:type="dxa"/>
            <w:tcBorders>
              <w:top w:val="single" w:sz="4" w:space="0" w:color="auto"/>
              <w:left w:val="single" w:sz="4" w:space="0" w:color="auto"/>
              <w:bottom w:val="single" w:sz="4" w:space="0" w:color="auto"/>
              <w:right w:val="single" w:sz="4" w:space="0" w:color="auto"/>
            </w:tcBorders>
          </w:tcPr>
          <w:p w:rsidR="00B21AD8" w:rsidRDefault="00B21AD8"/>
        </w:tc>
      </w:tr>
    </w:tbl>
    <w:p w:rsidR="00B21AD8" w:rsidRDefault="00B21AD8" w:rsidP="00B21AD8">
      <w:pPr>
        <w:jc w:val="both"/>
      </w:pPr>
      <w:r>
        <w:rPr>
          <w:bCs/>
        </w:rPr>
        <w:t xml:space="preserve">2015 metais 4 ir 8 klasės dalyvavo TIMSS ir PISA bei  standartizuotų testų tyrimuose. Gauti preliminarus PISA  ir TIMSS </w:t>
      </w:r>
      <w:r>
        <w:t xml:space="preserve">rezultatai mūsų gimnazijoje žemiau Lietuvos vidurkio; gimnazijos 23,4 %. Lietuvoje 41,6 %; TIMSS rezultatai: gimnazijoje 29,0 % (surinktų taškų) , Lietuvoje 54,8 % (surinktų taškų). </w:t>
      </w:r>
    </w:p>
    <w:p w:rsidR="00B21AD8" w:rsidRDefault="00B21AD8" w:rsidP="00B21AD8">
      <w:pPr>
        <w:rPr>
          <w:b/>
        </w:rPr>
      </w:pPr>
      <w:r>
        <w:rPr>
          <w:b/>
        </w:rPr>
        <w:t>Standartizuotų testų (pagal lygius) rezultatai yra: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Matematika 8 kl. (vidurkis surinktų taškų 66,5 %)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13,9</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44,2</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31,9</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10</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16,7</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66,7</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16,7</w:t>
            </w:r>
          </w:p>
        </w:tc>
      </w:tr>
    </w:tbl>
    <w:p w:rsidR="00B21AD8" w:rsidRDefault="00B21AD8" w:rsidP="00B21AD8"/>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Skaitymas  8 kl.</w:t>
            </w:r>
          </w:p>
          <w:p w:rsidR="00B21AD8" w:rsidRDefault="00B21AD8">
            <w:r>
              <w:t>vidurkis surinktų taškų 30,8 %)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11,8</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44,0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36,8</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7,4</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41,7</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58,3</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r>
    </w:tbl>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Rašymas 8 kl.</w:t>
            </w:r>
          </w:p>
          <w:p w:rsidR="00B21AD8" w:rsidRDefault="00B21AD8">
            <w:r>
              <w:t>vidurkis surinktų taškų 29,5 %)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11,4</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40,7</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40,9</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7,0</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18,2</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81,8</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r>
    </w:tbl>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Gamtos mokslai  8 kl.</w:t>
            </w:r>
          </w:p>
          <w:p w:rsidR="00B21AD8" w:rsidRDefault="00B21AD8">
            <w:r>
              <w:t>vidurkis surinktų taškų 59,8 %)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2,8</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30,4</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54,9</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11,9</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90,9</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9,1</w:t>
            </w:r>
          </w:p>
        </w:tc>
      </w:tr>
    </w:tbl>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Socialiniai mokslai  8 kl.</w:t>
            </w:r>
          </w:p>
          <w:p w:rsidR="00B21AD8" w:rsidRDefault="00B21AD8">
            <w:r>
              <w:t>vidurkis surinktų taškų 50,3 %)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8,1</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29,1</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56,4</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6,4</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30,8</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69,2</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r>
    </w:tbl>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tcPr>
          <w:p w:rsidR="00B21AD8" w:rsidRDefault="00B21AD8">
            <w:r>
              <w:t>Matematika 4 kl. (vidurkis surinktų taškų 43,7 %)</w:t>
            </w:r>
          </w:p>
          <w:p w:rsidR="00B21AD8" w:rsidRDefault="00B21AD8"/>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4,1</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22,5</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60,5</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12,8</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33,3</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66,7</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r>
    </w:tbl>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Skaitymas  4 kl.</w:t>
            </w:r>
          </w:p>
          <w:p w:rsidR="00B21AD8" w:rsidRDefault="00B21AD8">
            <w:r>
              <w:t>(vidurkis surinktų taškų 65,6 %)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13,2</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40,1</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37,3</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9,4</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33,3</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58,3</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8,3</w:t>
            </w:r>
          </w:p>
        </w:tc>
      </w:tr>
    </w:tbl>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Rašymas 4 kl.</w:t>
            </w:r>
          </w:p>
          <w:p w:rsidR="00B21AD8" w:rsidRDefault="00B21AD8">
            <w:r>
              <w:t>(vidurkis surinktų taškų 65,7 %)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4,9</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21,2</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62,2</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11,7</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8,3</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16,7</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41,7</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33,3</w:t>
            </w:r>
          </w:p>
        </w:tc>
      </w:tr>
    </w:tbl>
    <w:p w:rsidR="00B21AD8" w:rsidRDefault="00B21AD8" w:rsidP="00B21A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Pasaulio pažinimas  4 kl.</w:t>
            </w:r>
          </w:p>
          <w:p w:rsidR="00B21AD8" w:rsidRDefault="00B21AD8">
            <w:r>
              <w:t>(vidurkis surinktų taškų 61,0 %)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Patenkinamas </w:t>
            </w:r>
          </w:p>
          <w:p w:rsidR="00B21AD8" w:rsidRDefault="00B21AD8">
            <w:r>
              <w:t>(%)</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Pagrindinis </w:t>
            </w:r>
          </w:p>
          <w:p w:rsidR="00B21AD8" w:rsidRDefault="00B21AD8">
            <w:r>
              <w:t>(%)</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r>
              <w:t xml:space="preserve">Aukštesnysis </w:t>
            </w:r>
          </w:p>
          <w:p w:rsidR="00B21AD8" w:rsidRDefault="00B21AD8">
            <w:r>
              <w:t>(%)</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0,8</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29,3</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46,2</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23,7</w:t>
            </w:r>
          </w:p>
        </w:tc>
      </w:tr>
      <w:tr w:rsidR="00B21AD8" w:rsidTr="00B21AD8">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i/>
              </w:rPr>
            </w:pPr>
            <w:r>
              <w:rPr>
                <w:i/>
              </w:rPr>
              <w:t>16,7</w:t>
            </w:r>
          </w:p>
        </w:tc>
        <w:tc>
          <w:tcPr>
            <w:tcW w:w="1914"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33,3</w:t>
            </w:r>
          </w:p>
        </w:tc>
        <w:tc>
          <w:tcPr>
            <w:tcW w:w="1915" w:type="dxa"/>
            <w:tcBorders>
              <w:top w:val="single" w:sz="4" w:space="0" w:color="000000"/>
              <w:left w:val="single" w:sz="4" w:space="0" w:color="000000"/>
              <w:bottom w:val="single" w:sz="4" w:space="0" w:color="000000"/>
              <w:right w:val="single" w:sz="4" w:space="0" w:color="000000"/>
            </w:tcBorders>
            <w:hideMark/>
          </w:tcPr>
          <w:p w:rsidR="00B21AD8" w:rsidRDefault="00B21AD8">
            <w:pPr>
              <w:rPr>
                <w:b/>
                <w:i/>
              </w:rPr>
            </w:pPr>
            <w:r>
              <w:rPr>
                <w:b/>
                <w:i/>
              </w:rPr>
              <w:t>50,0</w:t>
            </w:r>
          </w:p>
        </w:tc>
      </w:tr>
    </w:tbl>
    <w:p w:rsidR="00B21AD8" w:rsidRDefault="00B21AD8" w:rsidP="00B21AD8">
      <w:pPr>
        <w:jc w:val="both"/>
        <w:rPr>
          <w:bCs/>
        </w:rPr>
      </w:pPr>
      <w:r>
        <w:rPr>
          <w:bCs/>
        </w:rPr>
        <w:t xml:space="preserve">Pagal statistiką </w:t>
      </w:r>
      <w:r>
        <w:rPr>
          <w:b/>
          <w:bCs/>
        </w:rPr>
        <w:t>21,35 %</w:t>
      </w:r>
      <w:r>
        <w:rPr>
          <w:bCs/>
        </w:rPr>
        <w:t xml:space="preserve"> mokinių gerėja asmeniniai pažangos rodikliai. </w:t>
      </w:r>
    </w:p>
    <w:p w:rsidR="00B21AD8" w:rsidRDefault="00B21AD8" w:rsidP="00B21AD8">
      <w:pPr>
        <w:jc w:val="both"/>
      </w:pPr>
    </w:p>
    <w:p w:rsidR="00B21AD8" w:rsidRDefault="00B21AD8" w:rsidP="00B21AD8">
      <w:pPr>
        <w:jc w:val="both"/>
        <w:rPr>
          <w:b/>
        </w:rPr>
      </w:pPr>
      <w:r>
        <w:rPr>
          <w:b/>
        </w:rPr>
        <w:t>V. Finansai, materialinės bazės turtinimas, ūkinė veikla.</w:t>
      </w:r>
    </w:p>
    <w:p w:rsidR="00B21AD8" w:rsidRDefault="00B21AD8" w:rsidP="00B21AD8">
      <w:pPr>
        <w:jc w:val="both"/>
      </w:pPr>
      <w:r>
        <w:t xml:space="preserve">Parama ir labdara:  </w:t>
      </w:r>
      <w:r>
        <w:rPr>
          <w:b/>
          <w:color w:val="000000"/>
        </w:rPr>
        <w:t xml:space="preserve">5368,60 </w:t>
      </w:r>
      <w:r>
        <w:t>tūkst. EUR.</w:t>
      </w:r>
    </w:p>
    <w:p w:rsidR="00B21AD8" w:rsidRDefault="00B21AD8" w:rsidP="00B21AD8">
      <w:pPr>
        <w:pStyle w:val="Betarp1"/>
      </w:pPr>
      <w:r>
        <w:t>Mokinio krepšelio lėšos</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9"/>
        <w:gridCol w:w="4400"/>
        <w:gridCol w:w="3148"/>
      </w:tblGrid>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Eil. Nr.</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Išlaidos</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2015 m. (tūkst. EUR)</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Darbo užmokestis</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226,48</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Soc. draudimo įmokos</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69,87</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3</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Ryšio paslaugos (internetas)</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0,7</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4</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Ilgalaikis turtas</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5</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 xml:space="preserve">Spaudiniai  ir vadovėliai </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1,6</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6</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Kitos prekės (ugdymo priemonės)</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1,48</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7</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Mokytojų kvalifikacijos kėlimas</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1,24</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8</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Mokinių kultūrinė – pažintinė veikla</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0,36</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9</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Darbdavio socialinė parama</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1169"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10</w:t>
            </w:r>
          </w:p>
        </w:tc>
        <w:tc>
          <w:tcPr>
            <w:tcW w:w="440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Egzaminai</w:t>
            </w:r>
          </w:p>
        </w:tc>
        <w:tc>
          <w:tcPr>
            <w:tcW w:w="314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 xml:space="preserve">0,3 DU </w:t>
            </w:r>
          </w:p>
          <w:p w:rsidR="00B21AD8" w:rsidRDefault="00B21AD8">
            <w:pPr>
              <w:pStyle w:val="Betarp1"/>
            </w:pPr>
            <w:r>
              <w:t>0,09 SODRA</w:t>
            </w:r>
          </w:p>
        </w:tc>
      </w:tr>
    </w:tbl>
    <w:p w:rsidR="00B21AD8" w:rsidRDefault="00B21AD8" w:rsidP="00B21AD8">
      <w:pPr>
        <w:pStyle w:val="Betarp1"/>
      </w:pPr>
      <w:r>
        <w:t>Savivaldybės lėšos</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660"/>
        <w:gridCol w:w="1388"/>
        <w:gridCol w:w="1843"/>
        <w:gridCol w:w="1985"/>
      </w:tblGrid>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Eil. Nr.</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Išlaidos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 xml:space="preserve"> 2014 m.</w:t>
            </w:r>
          </w:p>
          <w:p w:rsidR="00B21AD8" w:rsidRDefault="00B21AD8">
            <w:pPr>
              <w:pStyle w:val="Betarp1"/>
            </w:pPr>
            <w:r>
              <w:t>(tūkst. EUR)</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2015 m.</w:t>
            </w:r>
          </w:p>
          <w:p w:rsidR="00B21AD8" w:rsidRDefault="00B21AD8">
            <w:pPr>
              <w:pStyle w:val="Betarp1"/>
            </w:pPr>
            <w:r>
              <w:t>(tūkst. EUR)</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Kreditorinis įsiskolinimas</w:t>
            </w:r>
          </w:p>
          <w:p w:rsidR="00B21AD8" w:rsidRDefault="00B21AD8">
            <w:pPr>
              <w:pStyle w:val="Betarp1"/>
            </w:pPr>
            <w:r>
              <w:t>(tūkst. EUR)</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Darbo užmokestis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57,09</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54,34</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Soc. draudimo įmokos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16,88</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16,39</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1,57</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3</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Komunalinės paslaugos (šildymas ir elektros energija):</w:t>
            </w:r>
          </w:p>
          <w:p w:rsidR="00B21AD8" w:rsidRDefault="00B21AD8">
            <w:pPr>
              <w:pStyle w:val="Betarp1"/>
            </w:pPr>
            <w:r>
              <w:t>Šildymas</w:t>
            </w:r>
          </w:p>
          <w:p w:rsidR="00B21AD8" w:rsidRDefault="00B21AD8">
            <w:pPr>
              <w:pStyle w:val="Betarp1"/>
            </w:pPr>
            <w:r>
              <w:t xml:space="preserve">Energija  </w:t>
            </w:r>
          </w:p>
          <w:p w:rsidR="00B21AD8" w:rsidRDefault="00B21AD8">
            <w:pPr>
              <w:pStyle w:val="Betarp1"/>
            </w:pPr>
            <w:r>
              <w:t>Vandentiekis ir kanalizacija</w:t>
            </w:r>
          </w:p>
        </w:tc>
        <w:tc>
          <w:tcPr>
            <w:tcW w:w="1388" w:type="dxa"/>
            <w:tcBorders>
              <w:top w:val="single" w:sz="4" w:space="0" w:color="000000"/>
              <w:left w:val="single" w:sz="4" w:space="0" w:color="000000"/>
              <w:bottom w:val="single" w:sz="4" w:space="0" w:color="000000"/>
              <w:right w:val="single" w:sz="4" w:space="0" w:color="000000"/>
            </w:tcBorders>
          </w:tcPr>
          <w:p w:rsidR="00B21AD8" w:rsidRDefault="00B21AD8">
            <w:pPr>
              <w:pStyle w:val="Betarp1"/>
            </w:pPr>
          </w:p>
          <w:p w:rsidR="00B21AD8" w:rsidRDefault="00B21AD8">
            <w:pPr>
              <w:pStyle w:val="Betarp1"/>
            </w:pPr>
          </w:p>
          <w:p w:rsidR="00B21AD8" w:rsidRDefault="00B21AD8">
            <w:pPr>
              <w:pStyle w:val="Betarp1"/>
            </w:pPr>
            <w:r>
              <w:t>33,98</w:t>
            </w:r>
          </w:p>
          <w:p w:rsidR="00B21AD8" w:rsidRDefault="00B21AD8">
            <w:pPr>
              <w:pStyle w:val="Betarp1"/>
            </w:pPr>
            <w:r>
              <w:t>5,82</w:t>
            </w:r>
          </w:p>
          <w:p w:rsidR="00B21AD8" w:rsidRDefault="00B21AD8">
            <w:pPr>
              <w:pStyle w:val="Betarp1"/>
            </w:pPr>
            <w:r>
              <w:t>0,81</w:t>
            </w:r>
          </w:p>
        </w:tc>
        <w:tc>
          <w:tcPr>
            <w:tcW w:w="1843" w:type="dxa"/>
            <w:tcBorders>
              <w:top w:val="single" w:sz="4" w:space="0" w:color="000000"/>
              <w:left w:val="single" w:sz="4" w:space="0" w:color="000000"/>
              <w:bottom w:val="single" w:sz="4" w:space="0" w:color="000000"/>
              <w:right w:val="single" w:sz="4" w:space="0" w:color="000000"/>
            </w:tcBorders>
          </w:tcPr>
          <w:p w:rsidR="00B21AD8" w:rsidRDefault="00B21AD8">
            <w:pPr>
              <w:pStyle w:val="Betarp1"/>
            </w:pPr>
          </w:p>
          <w:p w:rsidR="00B21AD8" w:rsidRDefault="00B21AD8">
            <w:pPr>
              <w:pStyle w:val="Betarp1"/>
            </w:pPr>
          </w:p>
          <w:p w:rsidR="00B21AD8" w:rsidRDefault="00B21AD8">
            <w:pPr>
              <w:pStyle w:val="Betarp1"/>
            </w:pPr>
            <w:r>
              <w:t>35,29</w:t>
            </w:r>
          </w:p>
          <w:p w:rsidR="00B21AD8" w:rsidRDefault="00B21AD8">
            <w:r>
              <w:t>6,08</w:t>
            </w:r>
          </w:p>
          <w:p w:rsidR="00B21AD8" w:rsidRDefault="00B21AD8">
            <w:r>
              <w:t>0,57</w:t>
            </w:r>
          </w:p>
        </w:tc>
        <w:tc>
          <w:tcPr>
            <w:tcW w:w="1985" w:type="dxa"/>
            <w:tcBorders>
              <w:top w:val="single" w:sz="4" w:space="0" w:color="000000"/>
              <w:left w:val="single" w:sz="4" w:space="0" w:color="000000"/>
              <w:bottom w:val="single" w:sz="4" w:space="0" w:color="000000"/>
              <w:right w:val="single" w:sz="4" w:space="0" w:color="000000"/>
            </w:tcBorders>
          </w:tcPr>
          <w:p w:rsidR="00B21AD8" w:rsidRDefault="00B21AD8">
            <w:pPr>
              <w:pStyle w:val="Betarp1"/>
            </w:pPr>
          </w:p>
          <w:p w:rsidR="00B21AD8" w:rsidRDefault="00B21AD8">
            <w:pPr>
              <w:pStyle w:val="Betarp1"/>
            </w:pPr>
          </w:p>
          <w:p w:rsidR="00B21AD8" w:rsidRDefault="00B21AD8">
            <w:pPr>
              <w:pStyle w:val="Betarp1"/>
            </w:pPr>
            <w:r>
              <w:t>2,83</w:t>
            </w:r>
          </w:p>
          <w:p w:rsidR="00B21AD8" w:rsidRDefault="00B21AD8">
            <w:r>
              <w:t>0,47</w:t>
            </w:r>
          </w:p>
          <w:p w:rsidR="00B21AD8" w:rsidRDefault="00B21AD8">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4</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Ryšio paslaugos (telefonas)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0,31</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0,31</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5</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Transporto išlaikymas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4,05</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6,55</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0,38</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6</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Kvalifikacijos kėlimas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0,15</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0,21</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7</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 xml:space="preserve">Kitos prekės </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2,23</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1,83</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8</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Ilgalaikio materialaus turto remontas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9</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Kitos paslaugos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0,98</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7,38</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10</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Darbdavio socialinė parama</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0,1</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11</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Ilgalaikio turto įsigijimas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12</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Pavėžėjimas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16,25</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12,69</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13</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Deleguotos (valstybės biudžetas)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28,1</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27,54</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14</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Administravimas</w:t>
            </w:r>
          </w:p>
        </w:tc>
        <w:tc>
          <w:tcPr>
            <w:tcW w:w="1388"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3,1</w:t>
            </w:r>
          </w:p>
        </w:tc>
        <w:tc>
          <w:tcPr>
            <w:tcW w:w="1843"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3,45</w:t>
            </w:r>
          </w:p>
        </w:tc>
        <w:tc>
          <w:tcPr>
            <w:tcW w:w="1985"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0</w:t>
            </w:r>
          </w:p>
        </w:tc>
      </w:tr>
      <w:tr w:rsidR="00B21AD8" w:rsidTr="00B21AD8">
        <w:tc>
          <w:tcPr>
            <w:tcW w:w="567"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15</w:t>
            </w:r>
          </w:p>
        </w:tc>
        <w:tc>
          <w:tcPr>
            <w:tcW w:w="2660" w:type="dxa"/>
            <w:tcBorders>
              <w:top w:val="single" w:sz="4" w:space="0" w:color="000000"/>
              <w:left w:val="single" w:sz="4" w:space="0" w:color="000000"/>
              <w:bottom w:val="single" w:sz="4" w:space="0" w:color="000000"/>
              <w:right w:val="single" w:sz="4" w:space="0" w:color="000000"/>
            </w:tcBorders>
            <w:hideMark/>
          </w:tcPr>
          <w:p w:rsidR="00B21AD8" w:rsidRDefault="00B21AD8">
            <w:pPr>
              <w:pStyle w:val="Betarp1"/>
            </w:pPr>
            <w:r>
              <w:t>Atnaujinta valgyklos įranga</w:t>
            </w:r>
          </w:p>
        </w:tc>
        <w:tc>
          <w:tcPr>
            <w:tcW w:w="1388" w:type="dxa"/>
            <w:tcBorders>
              <w:top w:val="single" w:sz="4" w:space="0" w:color="000000"/>
              <w:left w:val="single" w:sz="4" w:space="0" w:color="000000"/>
              <w:bottom w:val="single" w:sz="4" w:space="0" w:color="000000"/>
              <w:right w:val="single" w:sz="4" w:space="0" w:color="000000"/>
            </w:tcBorders>
          </w:tcPr>
          <w:p w:rsidR="00B21AD8" w:rsidRDefault="00B21AD8">
            <w:pPr>
              <w:pStyle w:val="Betarp1"/>
            </w:pPr>
          </w:p>
        </w:tc>
        <w:tc>
          <w:tcPr>
            <w:tcW w:w="1843" w:type="dxa"/>
            <w:tcBorders>
              <w:top w:val="single" w:sz="4" w:space="0" w:color="000000"/>
              <w:left w:val="single" w:sz="4" w:space="0" w:color="000000"/>
              <w:bottom w:val="single" w:sz="4" w:space="0" w:color="000000"/>
              <w:right w:val="single" w:sz="4" w:space="0" w:color="000000"/>
            </w:tcBorders>
          </w:tcPr>
          <w:p w:rsidR="00B21AD8" w:rsidRDefault="00B21AD8">
            <w:pPr>
              <w:pStyle w:val="Betarp1"/>
            </w:pPr>
          </w:p>
        </w:tc>
        <w:tc>
          <w:tcPr>
            <w:tcW w:w="1985" w:type="dxa"/>
            <w:tcBorders>
              <w:top w:val="single" w:sz="4" w:space="0" w:color="000000"/>
              <w:left w:val="single" w:sz="4" w:space="0" w:color="000000"/>
              <w:bottom w:val="single" w:sz="4" w:space="0" w:color="000000"/>
              <w:right w:val="single" w:sz="4" w:space="0" w:color="000000"/>
            </w:tcBorders>
          </w:tcPr>
          <w:p w:rsidR="00B21AD8" w:rsidRDefault="00B21AD8">
            <w:pPr>
              <w:pStyle w:val="Betarp1"/>
            </w:pPr>
          </w:p>
        </w:tc>
      </w:tr>
    </w:tbl>
    <w:p w:rsidR="00B21AD8" w:rsidRDefault="00B21AD8" w:rsidP="00B21AD8">
      <w:pPr>
        <w:pStyle w:val="Betarp1"/>
      </w:pPr>
    </w:p>
    <w:p w:rsidR="00B21AD8" w:rsidRDefault="00B21AD8" w:rsidP="00B21AD8">
      <w:pPr>
        <w:jc w:val="both"/>
        <w:rPr>
          <w:b/>
        </w:rPr>
      </w:pPr>
      <w:r>
        <w:rPr>
          <w:b/>
        </w:rPr>
        <w:t>VI. Svarbiausi 2015 m. pasiekimai ir laimėjimai. Problemos.</w:t>
      </w:r>
    </w:p>
    <w:p w:rsidR="00B21AD8" w:rsidRDefault="00B21AD8" w:rsidP="00B21AD8">
      <w:pPr>
        <w:pStyle w:val="Sraopastraipa11"/>
        <w:numPr>
          <w:ilvl w:val="0"/>
          <w:numId w:val="31"/>
        </w:numPr>
        <w:jc w:val="both"/>
        <w:rPr>
          <w:lang w:val="lt-LT"/>
        </w:rPr>
      </w:pPr>
      <w:r>
        <w:rPr>
          <w:lang w:val="lt-LT"/>
        </w:rPr>
        <w:t>2015 metais viena iš geriausių mokyklų Lietuvos lenkiškų mokyklų konkurse ,,Geriausia mokykla – geriausias mokytojas“.  Aleksandra Sinkevič pripažinta geriausia biologijos mokytoja 2015 metais.</w:t>
      </w:r>
    </w:p>
    <w:p w:rsidR="00B21AD8" w:rsidRDefault="00B21AD8" w:rsidP="00B21AD8">
      <w:pPr>
        <w:pStyle w:val="Sraopastraipa"/>
        <w:numPr>
          <w:ilvl w:val="0"/>
          <w:numId w:val="31"/>
        </w:numPr>
      </w:pPr>
      <w:r>
        <w:t>Tinkamos darbo ir mokymosi sąlygos. Palanki tėvų nuomonė apie gimnazijos veiklą.</w:t>
      </w:r>
    </w:p>
    <w:p w:rsidR="00B21AD8" w:rsidRDefault="00B21AD8" w:rsidP="00B21AD8">
      <w:pPr>
        <w:pStyle w:val="Sraopastraipa"/>
        <w:numPr>
          <w:ilvl w:val="0"/>
          <w:numId w:val="31"/>
        </w:numPr>
        <w:ind w:left="426"/>
        <w:jc w:val="both"/>
      </w:pPr>
      <w:r>
        <w:t>Greta įprastinių pamokų gimnazijoje organizuojamas ugdymas ir kitose edukacinėse aplinkose.</w:t>
      </w:r>
    </w:p>
    <w:p w:rsidR="00B21AD8" w:rsidRDefault="00B21AD8" w:rsidP="00B21AD8">
      <w:r>
        <w:t>Problemos:</w:t>
      </w:r>
    </w:p>
    <w:p w:rsidR="00B21AD8" w:rsidRDefault="00B21AD8" w:rsidP="00B21AD8">
      <w:pPr>
        <w:pStyle w:val="Sraopastraipa"/>
        <w:numPr>
          <w:ilvl w:val="0"/>
          <w:numId w:val="32"/>
        </w:numPr>
      </w:pPr>
      <w:r>
        <w:t>Mažėjanti mokinių mokymosi motyvacija (IG-IVG klasėse).</w:t>
      </w:r>
    </w:p>
    <w:p w:rsidR="00B21AD8" w:rsidRDefault="00B21AD8" w:rsidP="00B21AD8">
      <w:pPr>
        <w:pStyle w:val="Sraopastraipa"/>
        <w:numPr>
          <w:ilvl w:val="0"/>
          <w:numId w:val="32"/>
        </w:numPr>
      </w:pPr>
      <w:r>
        <w:t>Nepakankamas tėvų aktyvumas gimnazijos veikloje.</w:t>
      </w:r>
    </w:p>
    <w:p w:rsidR="00B21AD8" w:rsidRDefault="00B21AD8" w:rsidP="00B21AD8">
      <w:pPr>
        <w:pStyle w:val="Sraopastraipa"/>
        <w:numPr>
          <w:ilvl w:val="0"/>
          <w:numId w:val="32"/>
        </w:numPr>
      </w:pPr>
      <w:r>
        <w:t>Mažėja mokinių skaičius.</w:t>
      </w:r>
    </w:p>
    <w:p w:rsidR="00B21AD8" w:rsidRDefault="00B21AD8" w:rsidP="00B21AD8">
      <w:pPr>
        <w:pStyle w:val="Sraopastraipa"/>
        <w:numPr>
          <w:ilvl w:val="0"/>
          <w:numId w:val="32"/>
        </w:numPr>
      </w:pPr>
      <w:r>
        <w:t>Kai kurių mokinių  netinkamas elgesys, patyčios.</w:t>
      </w:r>
    </w:p>
    <w:p w:rsidR="00B21AD8" w:rsidRDefault="00B21AD8" w:rsidP="00B21AD8">
      <w:pPr>
        <w:jc w:val="both"/>
      </w:pPr>
      <w:r>
        <w:t xml:space="preserve">      Esame dėkingi, kad 2015 metais Šalčininkų rajono savivaldybė palaikė gimnaziją ir skyrė jai papildomai lėšų, perskirstant krepšelio lėšas.  Jos padėjo patenkinti ugdymo programų, ugdymo proceso, neformaliojo švietimo organizavimo poreikį.                                         </w:t>
      </w:r>
    </w:p>
    <w:p w:rsidR="00B21AD8" w:rsidRDefault="00B21AD8" w:rsidP="00B21AD8">
      <w:pPr>
        <w:tabs>
          <w:tab w:val="left" w:pos="960"/>
        </w:tabs>
        <w:jc w:val="both"/>
      </w:pPr>
      <w:r>
        <w:t xml:space="preserve">Lieka neišspręsta: </w:t>
      </w:r>
      <w:r>
        <w:rPr>
          <w:bCs/>
        </w:rPr>
        <w:t xml:space="preserve">Gerviškių skyriuje (ikimokyklinė mišri ugdymo grupė) – teritorijos aptvėrimas neatitinka higienos reikalavimų (turi būti 1,50 m.). Dėl to negautas higienos pasas Gerviškių skyriui. Gimnazijos  valgykloje, maisto ruošimo patalpose reikia pakeisti grindis. </w:t>
      </w:r>
    </w:p>
    <w:p w:rsidR="00B21AD8" w:rsidRDefault="00B21AD8" w:rsidP="00B21AD8">
      <w:pPr>
        <w:jc w:val="center"/>
      </w:pPr>
      <w:r>
        <w:t>__________________________</w:t>
      </w:r>
    </w:p>
    <w:p w:rsidR="002351EF" w:rsidRPr="0024756D" w:rsidRDefault="002351EF" w:rsidP="00B21AD8">
      <w:pPr>
        <w:pStyle w:val="HTMLiankstoformatuotas"/>
        <w:jc w:val="both"/>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ABF" w:rsidRDefault="00E36ABF">
      <w:r>
        <w:separator/>
      </w:r>
    </w:p>
  </w:endnote>
  <w:endnote w:type="continuationSeparator" w:id="1">
    <w:p w:rsidR="00E36ABF" w:rsidRDefault="00E36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ABF" w:rsidRDefault="00E36ABF">
      <w:r>
        <w:separator/>
      </w:r>
    </w:p>
  </w:footnote>
  <w:footnote w:type="continuationSeparator" w:id="1">
    <w:p w:rsidR="00E36ABF" w:rsidRDefault="00E36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0E4C86"/>
    <w:multiLevelType w:val="hybridMultilevel"/>
    <w:tmpl w:val="F09C4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9">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367D1F41"/>
    <w:multiLevelType w:val="hybridMultilevel"/>
    <w:tmpl w:val="5EC40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C742E9"/>
    <w:multiLevelType w:val="multilevel"/>
    <w:tmpl w:val="42BA6DE4"/>
    <w:lvl w:ilvl="0">
      <w:start w:val="1"/>
      <w:numFmt w:val="decimal"/>
      <w:lvlText w:val="%1."/>
      <w:lvlJc w:val="left"/>
      <w:pPr>
        <w:tabs>
          <w:tab w:val="num" w:pos="360"/>
        </w:tabs>
        <w:ind w:left="0" w:firstLine="567"/>
      </w:pPr>
      <w:rPr>
        <w:rFonts w:cs="Times New Roman"/>
      </w:rPr>
    </w:lvl>
    <w:lvl w:ilvl="1">
      <w:start w:val="1"/>
      <w:numFmt w:val="decimal"/>
      <w:lvlText w:val="%1.%2."/>
      <w:lvlJc w:val="left"/>
      <w:pPr>
        <w:tabs>
          <w:tab w:val="num" w:pos="1068"/>
        </w:tabs>
        <w:ind w:left="0" w:firstLine="567"/>
      </w:pPr>
      <w:rPr>
        <w:rFonts w:cs="Times New Roman"/>
      </w:rPr>
    </w:lvl>
    <w:lvl w:ilvl="2">
      <w:start w:val="1"/>
      <w:numFmt w:val="decimal"/>
      <w:lvlText w:val="%1.%2.%3."/>
      <w:lvlJc w:val="left"/>
      <w:pPr>
        <w:tabs>
          <w:tab w:val="num" w:pos="2151"/>
        </w:tabs>
        <w:ind w:left="0" w:firstLine="567"/>
      </w:pPr>
      <w:rPr>
        <w:rFonts w:cs="Times New Roman"/>
      </w:rPr>
    </w:lvl>
    <w:lvl w:ilvl="3">
      <w:start w:val="1"/>
      <w:numFmt w:val="decimal"/>
      <w:lvlText w:val="%1.%2.%3.%4."/>
      <w:lvlJc w:val="left"/>
      <w:pPr>
        <w:tabs>
          <w:tab w:val="num" w:pos="1800"/>
        </w:tabs>
        <w:ind w:left="0" w:firstLine="56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4">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549C33FC"/>
    <w:multiLevelType w:val="hybridMultilevel"/>
    <w:tmpl w:val="A640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8">
    <w:nsid w:val="5F22706D"/>
    <w:multiLevelType w:val="hybridMultilevel"/>
    <w:tmpl w:val="7F0AFF60"/>
    <w:lvl w:ilvl="0" w:tplc="21A298E2">
      <w:start w:val="1"/>
      <w:numFmt w:val="upperRoman"/>
      <w:lvlText w:val="%1."/>
      <w:lvlJc w:val="left"/>
      <w:pPr>
        <w:ind w:left="1146"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6">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9">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3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31">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5"/>
    <w:lvlOverride w:ilvl="0">
      <w:startOverride w:val="1"/>
    </w:lvlOverride>
  </w:num>
  <w:num w:numId="3">
    <w:abstractNumId w:val="26"/>
  </w:num>
  <w:num w:numId="4">
    <w:abstractNumId w:val="14"/>
  </w:num>
  <w:num w:numId="5">
    <w:abstractNumId w:val="31"/>
  </w:num>
  <w:num w:numId="6">
    <w:abstractNumId w:val="2"/>
  </w:num>
  <w:num w:numId="7">
    <w:abstractNumId w:val="13"/>
  </w:num>
  <w:num w:numId="8">
    <w:abstractNumId w:val="1"/>
  </w:num>
  <w:num w:numId="9">
    <w:abstractNumId w:val="24"/>
  </w:num>
  <w:num w:numId="10">
    <w:abstractNumId w:val="30"/>
  </w:num>
  <w:num w:numId="11">
    <w:abstractNumId w:val="22"/>
  </w:num>
  <w:num w:numId="12">
    <w:abstractNumId w:val="29"/>
  </w:num>
  <w:num w:numId="13">
    <w:abstractNumId w:val="0"/>
  </w:num>
  <w:num w:numId="14">
    <w:abstractNumId w:val="3"/>
  </w:num>
  <w:num w:numId="15">
    <w:abstractNumId w:val="20"/>
  </w:num>
  <w:num w:numId="16">
    <w:abstractNumId w:val="12"/>
  </w:num>
  <w:num w:numId="17">
    <w:abstractNumId w:val="21"/>
  </w:num>
  <w:num w:numId="18">
    <w:abstractNumId w:val="23"/>
  </w:num>
  <w:num w:numId="19">
    <w:abstractNumId w:val="9"/>
  </w:num>
  <w:num w:numId="20">
    <w:abstractNumId w:val="19"/>
  </w:num>
  <w:num w:numId="21">
    <w:abstractNumId w:val="28"/>
  </w:num>
  <w:num w:numId="22">
    <w:abstractNumId w:val="27"/>
  </w:num>
  <w:num w:numId="23">
    <w:abstractNumId w:val="17"/>
  </w:num>
  <w:num w:numId="24">
    <w:abstractNumId w:val="8"/>
  </w:num>
  <w:num w:numId="25">
    <w:abstractNumId w:val="6"/>
  </w:num>
  <w:num w:numId="26">
    <w:abstractNumId w:val="15"/>
  </w:num>
  <w:num w:numId="27">
    <w:abstractNumId w:val="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20"/>
  <w:hyphenationZone w:val="396"/>
  <w:doNotHyphenateCaps/>
  <w:noPunctuationKerning/>
  <w:characterSpacingControl w:val="doNotCompress"/>
  <w:doNotValidateAgainstSchema/>
  <w:doNotDemarcateInvalidXml/>
  <w:footnotePr>
    <w:footnote w:id="0"/>
    <w:footnote w:id="1"/>
  </w:footnotePr>
  <w:endnotePr>
    <w:endnote w:id="0"/>
    <w:endnote w:id="1"/>
  </w:endnotePr>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03E"/>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77B08"/>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B64C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56CB"/>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1AD8"/>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2F5A"/>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36ABF"/>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99"/>
    <w:qFormat/>
    <w:rsid w:val="00B21AD8"/>
    <w:pPr>
      <w:ind w:left="720"/>
      <w:contextualSpacing/>
    </w:pPr>
    <w:rPr>
      <w:rFonts w:eastAsia="SimSun"/>
      <w:noProof w:val="0"/>
      <w:lang w:eastAsia="zh-CN"/>
    </w:rPr>
  </w:style>
  <w:style w:type="paragraph" w:customStyle="1" w:styleId="Betarp1">
    <w:name w:val="Be tarpų1"/>
    <w:rsid w:val="00B21AD8"/>
    <w:rPr>
      <w:sz w:val="24"/>
      <w:szCs w:val="24"/>
      <w:lang w:eastAsia="en-US"/>
    </w:rPr>
  </w:style>
  <w:style w:type="paragraph" w:customStyle="1" w:styleId="Sraopastraipa11">
    <w:name w:val="Sąrašo pastraipa11"/>
    <w:basedOn w:val="prastasis"/>
    <w:uiPriority w:val="99"/>
    <w:rsid w:val="00B21AD8"/>
    <w:pPr>
      <w:ind w:left="720"/>
    </w:pPr>
    <w:rPr>
      <w:noProof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99"/>
    <w:qFormat/>
    <w:rsid w:val="00B21AD8"/>
    <w:pPr>
      <w:ind w:left="720"/>
      <w:contextualSpacing/>
    </w:pPr>
    <w:rPr>
      <w:rFonts w:eastAsia="SimSun"/>
      <w:noProof w:val="0"/>
      <w:lang w:eastAsia="zh-CN"/>
    </w:rPr>
  </w:style>
  <w:style w:type="paragraph" w:customStyle="1" w:styleId="Betarp1">
    <w:name w:val="Be tarpų1"/>
    <w:rsid w:val="00B21AD8"/>
    <w:rPr>
      <w:sz w:val="24"/>
      <w:szCs w:val="24"/>
      <w:lang w:eastAsia="en-US"/>
    </w:rPr>
  </w:style>
  <w:style w:type="paragraph" w:customStyle="1" w:styleId="Sraopastraipa11">
    <w:name w:val="Sąrašo pastraipa11"/>
    <w:basedOn w:val="prastasis"/>
    <w:uiPriority w:val="99"/>
    <w:rsid w:val="00B21AD8"/>
    <w:pPr>
      <w:ind w:left="720"/>
    </w:pPr>
    <w:rPr>
      <w:noProof w:val="0"/>
      <w:lang w:val="ru-RU" w:eastAsia="ru-RU"/>
    </w:rPr>
  </w:style>
</w:styles>
</file>

<file path=word/webSettings.xml><?xml version="1.0" encoding="utf-8"?>
<w:webSettings xmlns:r="http://schemas.openxmlformats.org/officeDocument/2006/relationships" xmlns:w="http://schemas.openxmlformats.org/wordprocessingml/2006/main">
  <w:divs>
    <w:div w:id="19912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trimonys.salcininkai.lm.lt" TargetMode="External"/><Relationship Id="rId3" Type="http://schemas.openxmlformats.org/officeDocument/2006/relationships/settings" Target="settings.xml"/><Relationship Id="rId7" Type="http://schemas.openxmlformats.org/officeDocument/2006/relationships/hyperlink" Target="mailto:butrimoniuakgim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3022</Words>
  <Characters>17228</Characters>
  <Application>Microsoft Office Word</Application>
  <DocSecurity>0</DocSecurity>
  <Lines>143</Lines>
  <Paragraphs>40</Paragraphs>
  <ScaleCrop>false</ScaleCrop>
  <HeadingPairs>
    <vt:vector size="2" baseType="variant">
      <vt:variant>
        <vt:lpstr>Pavadinimas</vt:lpstr>
      </vt:variant>
      <vt:variant>
        <vt:i4>1</vt:i4>
      </vt:variant>
    </vt:vector>
  </HeadingPairs>
  <TitlesOfParts>
    <vt:vector size="1" baseType="lpstr">
      <vt:lpstr>ŠALČININKŲ R. BUTRIMONIŲ ANOS KREPŠTUL GIMNAZIJOS DIREKTORIAUS 2015 M. VEIKLOS ATASKAITOS PATVIRTINIMO</vt:lpstr>
    </vt:vector>
  </TitlesOfParts>
  <Manager>2016-03-31</Manager>
  <Company>Savivaldybe</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ŠALČININKŲ R. BUTRIMONIŲ ANOS KREPŠTUL GIMNAZIJOS DIREKTORIAUS 2015 M. VEIKLOS ATASKAITOS PATVIRTINIMO</dc:title>
  <dc:subject>T-377</dc:subject>
  <dc:creator>ŠALČININKŲ RAJONO SAVIVALDYBĖS TARYBA</dc:creator>
  <cp:lastModifiedBy>Informatika</cp:lastModifiedBy>
  <cp:revision>2</cp:revision>
  <cp:lastPrinted>2010-08-09T13:05:00Z</cp:lastPrinted>
  <dcterms:created xsi:type="dcterms:W3CDTF">2018-05-30T06:26:00Z</dcterms:created>
  <dcterms:modified xsi:type="dcterms:W3CDTF">2018-05-30T06:26:00Z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ŠALČININKŲ R. BUTRIMONIŲ ANOS KREPŠTUL GIMNAZIJOS DIREKTORIAUS 2015 M. VEIKLOS ATASKAITOS PATVIRTINIMO</vt:lpwstr>
  </property>
  <property fmtid="{D5CDD505-2E9C-101B-9397-08002B2CF9AE}" pid="3" name="DLX:Registered">
    <vt:lpwstr>2016.03.31</vt:lpwstr>
  </property>
  <property fmtid="{D5CDD505-2E9C-101B-9397-08002B2CF9AE}" pid="4" name="DLX:RegistrationNo">
    <vt:lpwstr>T-377</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